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f6e2b45984b6c" /></Relationships>
</file>

<file path=word/document.xml><?xml version="1.0" encoding="utf-8"?>
<w:document xmlns:w="http://schemas.openxmlformats.org/wordprocessingml/2006/main">
  <w:body>
    <w:p>
      <w:r>
        <w:t>S-0781.1</w:t>
      </w:r>
    </w:p>
    <w:p>
      <w:pPr>
        <w:jc w:val="center"/>
      </w:pPr>
      <w:r>
        <w:t>_______________________________________________</w:t>
      </w:r>
    </w:p>
    <w:p/>
    <w:p>
      <w:pPr>
        <w:jc w:val="center"/>
      </w:pPr>
      <w:r>
        <w:rPr>
          <w:b/>
        </w:rPr>
        <w:t>SENATE BILL 5538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Dhingra, and C. Wilson</w:t>
      </w:r>
    </w:p>
    <w:p/>
    <w:p>
      <w:r>
        <w:rPr>
          <w:t xml:space="preserve">Read first time 01/23/23.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postretirement employment in nursing positions for a state agency; amending RCW 41.37.050 and 41.40.037;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050</w:t>
      </w:r>
      <w:r>
        <w:rPr/>
        <w:t xml:space="preserve"> and 2011 1st sp.s. c 47 s 17 are each amended to read as follows:</w:t>
      </w:r>
    </w:p>
    <w:p>
      <w:pPr>
        <w:spacing w:before="0" w:after="0" w:line="408" w:lineRule="exact"/>
        <w:ind w:left="0" w:right="0" w:firstLine="576"/>
        <w:jc w:val="left"/>
      </w:pPr>
      <w:r>
        <w:rPr/>
        <w:t xml:space="preserve">(1)(a) If a retiree enters employment in an eligible position with an employer as defined in this chapter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If a retiree enters employment in an eligible position with an employer as defined in chapter 41.32, 41.35, or 41.40 RCW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(c) The benefit reduction provided in (a) and (b)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or 41.40.010, or as a law enforcement officer or firefighter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2026, a retiree who has satisfied the break in employment requirement of subsection (1) of this section, and who enters service in a nursing position for a state agency,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this chapter,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this chapter.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2022 c 110 s 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Between March 23, 2022,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(c) Between the effective date of this section and July 1, 2026, a retiree, including a retiree who has retired under the alternate early retirement provisions of RCW 41.40.630(3)(b) or 41.40.820(3)(b), and who enters service in a nursing position for a state agency,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1ba99367edd49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0f268fc27f4d5e" /><Relationship Type="http://schemas.openxmlformats.org/officeDocument/2006/relationships/footer" Target="/word/footer1.xml" Id="Ra1ba99367edd4985" /></Relationships>
</file>