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fd7a1711a491c" /></Relationships>
</file>

<file path=word/document.xml><?xml version="1.0" encoding="utf-8"?>
<w:document xmlns:w="http://schemas.openxmlformats.org/wordprocessingml/2006/main">
  <w:body>
    <w:p>
      <w:r>
        <w:t>S-1466.1</w:t>
      </w:r>
    </w:p>
    <w:p>
      <w:pPr>
        <w:jc w:val="center"/>
      </w:pPr>
      <w:r>
        <w:t>_______________________________________________</w:t>
      </w:r>
    </w:p>
    <w:p/>
    <w:p>
      <w:pPr>
        <w:jc w:val="center"/>
      </w:pPr>
      <w:r>
        <w:rPr>
          <w:b/>
        </w:rPr>
        <w:t>SUBSTITUTE SENATE BILL 5546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Shewmake, Lovick, Keiser, King, Stanford, Conway,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paid any amount in business and occupation tax to the department of revenue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paid any amount in business and occupation tax to the department of revenue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30 percent of the active cannabis producers and 30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The department must create rules for an active cannabis producer or an active cannabis producer/processor to dispute the results of a vote within 60 days from the announced results.</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board must impose and collect an assessment from all cannabis producers and cannabis producer/processors.</w:t>
      </w:r>
    </w:p>
    <w:p>
      <w:pPr>
        <w:spacing w:before="0" w:after="0" w:line="408" w:lineRule="exact"/>
        <w:ind w:left="0" w:right="0" w:firstLine="576"/>
        <w:jc w:val="left"/>
      </w:pPr>
      <w:r>
        <w:rPr/>
        <w:t xml:space="preserve">(2) The initial rate of assessment is:</w:t>
      </w:r>
    </w:p>
    <w:p>
      <w:pPr>
        <w:spacing w:before="0" w:after="0" w:line="408" w:lineRule="exact"/>
        <w:ind w:left="0" w:right="0" w:firstLine="576"/>
        <w:jc w:val="left"/>
      </w:pPr>
      <w:r>
        <w:rPr/>
        <w:t xml:space="preserve">(a) 0.29 percent of all sales revenue conducted by a cannabis producer who is not a cannabis producer/processor subject to an assessment under (b) of this subsection; and</w:t>
      </w:r>
    </w:p>
    <w:p>
      <w:pPr>
        <w:spacing w:before="0" w:after="0" w:line="408" w:lineRule="exact"/>
        <w:ind w:left="0" w:right="0" w:firstLine="576"/>
        <w:jc w:val="left"/>
      </w:pPr>
      <w:r>
        <w:rPr/>
        <w:t xml:space="preserve">(b) 0.145 percent of all sales revenue conducted by a cannabis producer/processor.</w:t>
      </w:r>
    </w:p>
    <w:p>
      <w:pPr>
        <w:spacing w:before="0" w:after="0" w:line="408" w:lineRule="exact"/>
        <w:ind w:left="0" w:right="0" w:firstLine="576"/>
        <w:jc w:val="left"/>
      </w:pPr>
      <w:r>
        <w:rPr/>
        <w:t xml:space="preserve">(3) After the initial assessment is approved, the commission may modify the assessment if submitted for approval by referendum and a majority of active cannabis producers and active cannabis producer/processors subject to an assessment approve the modification.</w:t>
      </w:r>
    </w:p>
    <w:p>
      <w:pPr>
        <w:spacing w:before="0" w:after="0" w:line="408" w:lineRule="exact"/>
        <w:ind w:left="0" w:right="0" w:firstLine="576"/>
        <w:jc w:val="left"/>
      </w:pPr>
      <w:r>
        <w:rPr/>
        <w:t xml:space="preserve">(4)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(5) Until October 31, 2028,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c4c0c97c464c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4d280a399464f" /><Relationship Type="http://schemas.openxmlformats.org/officeDocument/2006/relationships/footer" Target="/word/footer1.xml" Id="Rc4c0c97c464c44f2" /></Relationships>
</file>