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ca116d3e344dd" /></Relationships>
</file>

<file path=word/document.xml><?xml version="1.0" encoding="utf-8"?>
<w:document xmlns:w="http://schemas.openxmlformats.org/wordprocessingml/2006/main">
  <w:body>
    <w:p>
      <w:r>
        <w:t>S-0225.1</w:t>
      </w:r>
    </w:p>
    <w:p>
      <w:pPr>
        <w:jc w:val="center"/>
      </w:pPr>
      <w:r>
        <w:t>_______________________________________________</w:t>
      </w:r>
    </w:p>
    <w:p/>
    <w:p>
      <w:pPr>
        <w:jc w:val="center"/>
      </w:pPr>
      <w:r>
        <w:rPr>
          <w:b/>
        </w:rPr>
        <w:t>SENATE BILL 5576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Kuderer, Lovelett, Nobles, Saldaña, Trudeau, Valdez, and C. Wilson</w:t>
      </w:r>
    </w:p>
    <w:p/>
    <w:p>
      <w:r>
        <w:rPr>
          <w:t xml:space="preserve">Read first time 01/26/23.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procedures; and amending RCW 43.43.754 and 9A.44.020.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 If the biological samples are not collected prior to the person's release from confinement, then the sentencing court shall schedule a compliance hearing within five days of the person's release to ensure that the biological samples have been collected</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 </w:t>
      </w:r>
      <w:r>
        <w:rPr>
          <w:u w:val="single"/>
        </w:rPr>
        <w:t xml:space="preserve">If the biological samples are not collected prior to the person's release from confinement, then the sentencing court shall schedule a compliance hearing within five days of the person's release to ensure that the biological samples have been collected.</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 </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must create and implement a biological sample collection protocol. The court shall obtain the biological samples at the time of sentencing. The court must inform the person that refusal to provide a biological sample is a gross misdemeanor under this section. If the biological samples are not collected at the time of sentencing, then the biological samples shall be collected pursuant to (a) through (d) of this subsection, and the court shall schedule a compliance hearing within five days of the sentencing to ensure that the biological samples have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
      <w:pPr>
        <w:jc w:val="center"/>
      </w:pPr>
      <w:r>
        <w:rPr>
          <w:b/>
        </w:rPr>
        <w:t>--- END ---</w:t>
      </w:r>
    </w:p>
    <w:sectPr>
      <w:pgNumType w:start="1"/>
      <w:footerReference xmlns:r="http://schemas.openxmlformats.org/officeDocument/2006/relationships" r:id="R340c37a4f1dd43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e1c9e5c3b4f2f" /><Relationship Type="http://schemas.openxmlformats.org/officeDocument/2006/relationships/footer" Target="/word/footer1.xml" Id="R340c37a4f1dd43ed" /></Relationships>
</file>