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94b0aebd3949c5" /></Relationships>
</file>

<file path=word/document.xml><?xml version="1.0" encoding="utf-8"?>
<w:document xmlns:w="http://schemas.openxmlformats.org/wordprocessingml/2006/main">
  <w:body>
    <w:p>
      <w:r>
        <w:t>S-1458.2</w:t>
      </w:r>
    </w:p>
    <w:p>
      <w:pPr>
        <w:jc w:val="center"/>
      </w:pPr>
      <w:r>
        <w:t>_______________________________________________</w:t>
      </w:r>
    </w:p>
    <w:p/>
    <w:p>
      <w:pPr>
        <w:jc w:val="center"/>
      </w:pPr>
      <w:r>
        <w:rPr>
          <w:b/>
        </w:rPr>
        <w:t>SUBSTITUTE SENATE BILL 5579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Braun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department of ecology's authority to refrain from enforcing certain provisions of chapter 70A.60 RCW to mitigate the effects of supply chain problems or other similar disruptions; amending RCW 70A.60.060;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supply chain problems have made it difficult for Washington businesses to access products that comply with the standards established in chapter 70A.60 RCW, relating to hydrofluorocarbons. The legislature further finds that providing additional enforcement flexibility to the department of ecology is a solution that will help keep businesses from experiencing supply chain problems when compliant products are unavailable. The legislature concludes that this additional flexibility will benefit businesses and consumers alike.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60</w:t>
      </w:r>
      <w:r>
        <w:rPr/>
        <w:t xml:space="preserve">.</w:t>
      </w:r>
      <w:r>
        <w:t xml:space="preserve">060</w:t>
      </w:r>
      <w:r>
        <w:rPr/>
        <w:t xml:space="preserve"> and 2021 c 315 s 7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and stand-alone units;</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w:t>
      </w:r>
    </w:p>
    <w:p>
      <w:pPr>
        <w:spacing w:before="0" w:after="0" w:line="408" w:lineRule="exact"/>
        <w:ind w:left="0" w:right="0" w:firstLine="576"/>
        <w:jc w:val="left"/>
      </w:pPr>
      <w:r>
        <w:rPr/>
        <w:t xml:space="preserve">(i) Residential consumer refrigeration products other than compact and built-in residential consumer refrigeration products; and</w:t>
      </w:r>
    </w:p>
    <w:p>
      <w:pPr>
        <w:spacing w:before="0" w:after="0" w:line="408" w:lineRule="exact"/>
        <w:ind w:left="0" w:right="0" w:firstLine="576"/>
        <w:jc w:val="left"/>
      </w:pPr>
      <w:r>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 The department shall adopt rules requiring that manufacturers disclose the substitutes used in their products or equipment or to disclose the compliance status of their products or equipment.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or of the compliance status of the products or equipment.</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w:t>
      </w:r>
      <w:r>
        <w:t>((</w:t>
      </w:r>
      <w:r>
        <w:rPr>
          <w:strike/>
        </w:rPr>
        <w:t xml:space="preserve">one hundred twenty</w:t>
      </w:r>
      <w:r>
        <w:t>))</w:t>
      </w:r>
      <w:r>
        <w:rPr/>
        <w:t xml:space="preserve"> </w:t>
      </w:r>
      <w:r>
        <w:rPr>
          <w:u w:val="single"/>
        </w:rPr>
        <w:t xml:space="preserve">120</w:t>
      </w:r>
      <w:r>
        <w:rPr/>
        <w:t xml:space="preserve">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w:t>
      </w:r>
      <w:r>
        <w:t>((</w:t>
      </w:r>
      <w:r>
        <w:rPr>
          <w:strike/>
        </w:rPr>
        <w:t xml:space="preserve">one hundred twenty</w:t>
      </w:r>
      <w:r>
        <w:t>))</w:t>
      </w:r>
      <w:r>
        <w:rPr/>
        <w:t xml:space="preserve"> </w:t>
      </w:r>
      <w:r>
        <w:rPr>
          <w:u w:val="single"/>
        </w:rPr>
        <w:t xml:space="preserve">120</w:t>
      </w:r>
      <w:r>
        <w:rPr/>
        <w:t xml:space="preserve"> days of the introduction into commerce in Washington of the product or equipment triggering this notification requirement.</w:t>
      </w:r>
    </w:p>
    <w:p>
      <w:pPr>
        <w:spacing w:before="0" w:after="0" w:line="408" w:lineRule="exact"/>
        <w:ind w:left="0" w:right="0" w:firstLine="576"/>
        <w:jc w:val="left"/>
      </w:pPr>
      <w:r>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t xml:space="preserve">(5) The department may adopt rules to administer, implement, and enforce this section</w:t>
      </w:r>
      <w:r>
        <w:rPr>
          <w:u w:val="single"/>
        </w:rPr>
        <w:t xml:space="preserve">, including rules that establish a process and criteria for granting variances from the requirements of this section if the department determines that supply chain problems impair the ability of persons to comply with the requirements of this section</w:t>
      </w:r>
      <w:r>
        <w:rPr/>
        <w:t xml:space="preserve">.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rPr/>
        <w:t xml:space="preserve">(6)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rPr/>
        <w:t xml:space="preserve">(7) Except where existing equipment is retrofit, the restrictions of this section do not apply to or limit any use of commercial refrigeration equipment that was installed or in use prior to the effective date of the restrictions established in this section.</w:t>
      </w:r>
    </w:p>
    <w:p/>
    <w:p>
      <w:pPr>
        <w:jc w:val="center"/>
      </w:pPr>
      <w:r>
        <w:rPr>
          <w:b/>
        </w:rPr>
        <w:t>--- END ---</w:t>
      </w:r>
    </w:p>
    <w:sectPr>
      <w:pgNumType w:start="1"/>
      <w:footerReference xmlns:r="http://schemas.openxmlformats.org/officeDocument/2006/relationships" r:id="R7bac06ff77f343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03f7f67d3b4b4b" /><Relationship Type="http://schemas.openxmlformats.org/officeDocument/2006/relationships/footer" Target="/word/footer1.xml" Id="R7bac06ff77f34356" /></Relationships>
</file>