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7742b020e54130" /></Relationships>
</file>

<file path=word/document.xml><?xml version="1.0" encoding="utf-8"?>
<w:document xmlns:w="http://schemas.openxmlformats.org/wordprocessingml/2006/main">
  <w:body>
    <w:p>
      <w:r>
        <w:t>S-0268.2</w:t>
      </w:r>
    </w:p>
    <w:p>
      <w:pPr>
        <w:jc w:val="center"/>
      </w:pPr>
      <w:r>
        <w:t>_______________________________________________</w:t>
      </w:r>
    </w:p>
    <w:p/>
    <w:p>
      <w:pPr>
        <w:jc w:val="center"/>
      </w:pPr>
      <w:r>
        <w:rPr>
          <w:b/>
        </w:rPr>
        <w:t>SENATE BILL 5624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Kuderer, Nguyen, Saldaña, Lovelett, Wellman, Nobles, Valdez, and C. Wilson</w:t>
      </w:r>
    </w:p>
    <w:p/>
    <w:p>
      <w:r>
        <w:rPr>
          <w:t xml:space="preserve">Read first time 01/30/23.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substance use recovery services advisory committee; amending RCW 69.50.4011, 69.50.4013, 69.41.030, 84.36.043, 69.50.4121, 36.70A.200, and 71.24.590; reenacting and amending RCW 13.34.030; adding a new section to chapter 69.50 RCW; adding a new section to chapter 26.12 RCW; adding new sections to chapter 71.24 RCW; adding a new section to chapter 43.216 RCW; adding a new section to chapter 43.330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substance use recovery services advisory committee was tasked with developing measures to help individuals with substance use disorder access outreach, treatment, and recovery support services. The committee was responsible for identifying services that would be low barrier, person-centered, informed by people with lived experience, and culturally and linguistically appropriate.</w:t>
      </w:r>
    </w:p>
    <w:p>
      <w:pPr>
        <w:spacing w:before="0" w:after="0" w:line="408" w:lineRule="exact"/>
        <w:ind w:left="0" w:right="0" w:firstLine="576"/>
        <w:jc w:val="left"/>
      </w:pPr>
      <w:r>
        <w:rPr/>
        <w:t xml:space="preserve">The legislature further finds while the urgent public health needs did not begin with the state supreme court decision in 2021 and subsequent enacted legislation, there must be a system in place that helps people with substance use disorders. Any solution must address not only the criminal legal response, but also appropriate access to medical, harm reduction, and social services.</w:t>
      </w:r>
    </w:p>
    <w:p>
      <w:pPr>
        <w:spacing w:before="0" w:after="0" w:line="408" w:lineRule="exact"/>
        <w:ind w:left="0" w:right="0" w:firstLine="576"/>
        <w:jc w:val="left"/>
      </w:pPr>
      <w:r>
        <w:rPr/>
        <w:t xml:space="preserve">The legislature further finds that the recommendations made by the substance use recovery services advisory committee reflect hours of diligent work by individuals with a range of professional and personal experience, who brought that expertise to the group, and whose expertise is reflected in the committee recommendations.</w:t>
      </w:r>
    </w:p>
    <w:p>
      <w:pPr>
        <w:spacing w:before="240" w:after="0" w:line="408" w:lineRule="exact"/>
        <w:ind w:left="0" w:right="0" w:firstLine="576"/>
        <w:jc w:val="center"/>
      </w:pPr>
      <w:r>
        <w:rPr>
          <w:b/>
        </w:rPr>
        <w:t xml:space="preserve">PART I </w:t>
      </w:r>
      <w:r>
        <w:rPr>
          <w:rFonts w:ascii="Times New Roman" w:hAnsi="Times New Roman"/>
          <w:b/>
        </w:rPr>
        <w:t xml:space="preserve">–</w:t>
      </w:r>
      <w:r>
        <w:rPr>
          <w:b/>
        </w:rPr>
        <w:t xml:space="preserve"> Decriminalization of Possession of a Personal Amount of a Counterfeit Substance, Controlled Substance, or Legend Drug for Persons 21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create</w:t>
      </w:r>
      <w:r>
        <w:t>((</w:t>
      </w:r>
      <w:r>
        <w:rPr>
          <w:strike/>
        </w:rPr>
        <w:t xml:space="preserve">,</w:t>
      </w:r>
      <w:r>
        <w:t>))</w:t>
      </w:r>
      <w:r>
        <w:rPr/>
        <w:t xml:space="preserve"> </w:t>
      </w:r>
      <w:r>
        <w:rPr>
          <w:u w:val="single"/>
        </w:rPr>
        <w:t xml:space="preserve">or</w:t>
      </w:r>
      <w:r>
        <w:rPr/>
        <w:t xml:space="preserve"> deliver</w:t>
      </w:r>
      <w:r>
        <w:t>((</w:t>
      </w:r>
      <w:r>
        <w:rPr>
          <w:strike/>
        </w:rPr>
        <w:t xml:space="preserve">, or possess</w:t>
      </w:r>
      <w:r>
        <w:t>))</w:t>
      </w:r>
      <w:r>
        <w:rPr/>
        <w:t xml:space="preserve"> a counterfeit substance</w:t>
      </w:r>
      <w:r>
        <w:rPr>
          <w:u w:val="single"/>
        </w:rPr>
        <w:t xml:space="preserve">;</w:t>
      </w:r>
    </w:p>
    <w:p>
      <w:pPr>
        <w:spacing w:before="0" w:after="0" w:line="408" w:lineRule="exact"/>
        <w:ind w:left="0" w:right="0" w:firstLine="576"/>
        <w:jc w:val="left"/>
      </w:pPr>
      <w:r>
        <w:rPr>
          <w:u w:val="single"/>
        </w:rPr>
        <w:t xml:space="preserve">(b) Any person to knowingly possess more than a personal amount of a counterfeit substance; or</w:t>
      </w:r>
    </w:p>
    <w:p>
      <w:pPr>
        <w:spacing w:before="0" w:after="0" w:line="408" w:lineRule="exact"/>
        <w:ind w:left="0" w:right="0" w:firstLine="576"/>
        <w:jc w:val="left"/>
      </w:pPr>
      <w:r>
        <w:rPr>
          <w:u w:val="single"/>
        </w:rPr>
        <w:t xml:space="preserve">(c) Any person under the age of 21 to knowingly possess a counterfeit substance of any amount</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 violation of subsection (1)(b) or (c) of this section is a misdemeanor. The prosecutor is encouraged to divert such cases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 is unlawful for any person to possess a controlled substance unless</w:t>
      </w:r>
      <w:r>
        <w:t>))</w:t>
      </w:r>
      <w:r>
        <w:rPr/>
        <w:t xml:space="preserve"> </w:t>
      </w:r>
      <w:r>
        <w:rPr>
          <w:u w:val="single"/>
        </w:rPr>
        <w:t xml:space="preserve">Unless</w:t>
      </w:r>
      <w:r>
        <w:rPr/>
        <w:t xml:space="preserve"> the substance was obtained directly from, or pursuant to, a valid prescription or order of a practitioner while acting in the course of his or her professional practice, or except as otherwise authorized by this chapter</w:t>
      </w:r>
      <w:r>
        <w:rPr>
          <w:u w:val="single"/>
        </w:rPr>
        <w:t xml:space="preserve">, it is unlawful for:</w:t>
      </w:r>
    </w:p>
    <w:p>
      <w:pPr>
        <w:spacing w:before="0" w:after="0" w:line="408" w:lineRule="exact"/>
        <w:ind w:left="0" w:right="0" w:firstLine="576"/>
        <w:jc w:val="left"/>
      </w:pPr>
      <w:r>
        <w:rPr>
          <w:u w:val="single"/>
        </w:rPr>
        <w:t xml:space="preserve">(a) Any person to knowingly possess more than a personal amount of a controlled substance; or</w:t>
      </w:r>
    </w:p>
    <w:p>
      <w:pPr>
        <w:spacing w:before="0" w:after="0" w:line="408" w:lineRule="exact"/>
        <w:ind w:left="0" w:right="0" w:firstLine="576"/>
        <w:jc w:val="left"/>
      </w:pPr>
      <w:r>
        <w:rPr>
          <w:u w:val="single"/>
        </w:rPr>
        <w:t xml:space="preserve">(b) A person under the age of 21 to knowingly possess a controlled substance of any amount</w:t>
      </w:r>
      <w:r>
        <w:rPr/>
        <w:t xml:space="preserve">.</w:t>
      </w:r>
    </w:p>
    <w:p>
      <w:pPr>
        <w:spacing w:before="0" w:after="0" w:line="408" w:lineRule="exact"/>
        <w:ind w:left="0" w:right="0" w:firstLine="576"/>
        <w:jc w:val="left"/>
      </w:pPr>
      <w:r>
        <w:rPr/>
        <w:t xml:space="preserve">(2) Except as provided in RCW 69.50.4014</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(a) Any</w:t>
      </w:r>
      <w:r>
        <w:rPr/>
        <w:t xml:space="preserve"> person who violates </w:t>
      </w:r>
      <w:r>
        <w:rPr>
          <w:u w:val="single"/>
        </w:rPr>
        <w:t xml:space="preserve">subsection (1)(a) of</w:t>
      </w:r>
      <w:r>
        <w:rPr/>
        <w:t xml:space="preserve"> this section is guilty of a </w:t>
      </w:r>
      <w:r>
        <w:t>((</w:t>
      </w:r>
      <w:r>
        <w:rPr>
          <w:strike/>
        </w:rPr>
        <w:t xml:space="preserve">class C felony punishable under chapter 9A.20 RCW.</w:t>
      </w:r>
    </w:p>
    <w:p>
      <w:pPr>
        <w:spacing w:before="0" w:after="0" w:line="408" w:lineRule="exact"/>
        <w:ind w:left="0" w:right="0" w:firstLine="576"/>
        <w:jc w:val="left"/>
      </w:pPr>
      <w:r>
        <w:rPr>
          <w:strike/>
        </w:rPr>
        <w:t xml:space="preserve">(3)</w:t>
      </w:r>
      <w:r>
        <w:t>))</w:t>
      </w:r>
      <w:r>
        <w:rPr/>
        <w:t xml:space="preserve"> </w:t>
      </w:r>
      <w:r>
        <w:rPr>
          <w:u w:val="single"/>
        </w:rPr>
        <w:t xml:space="preserve">Misdemeanor.</w:t>
      </w:r>
    </w:p>
    <w:p>
      <w:pPr>
        <w:spacing w:before="0" w:after="0" w:line="408" w:lineRule="exact"/>
        <w:ind w:left="0" w:right="0" w:firstLine="576"/>
        <w:jc w:val="left"/>
      </w:pPr>
      <w:r>
        <w:rPr>
          <w:u w:val="single"/>
        </w:rPr>
        <w:t xml:space="preserve">(b) Any person who violates subsection (1)(b) of this section is guilty of a misdemeanor.</w:t>
      </w:r>
    </w:p>
    <w:p>
      <w:pPr>
        <w:spacing w:before="0" w:after="0" w:line="408" w:lineRule="exact"/>
        <w:ind w:left="0" w:right="0" w:firstLine="576"/>
        <w:jc w:val="left"/>
      </w:pPr>
      <w:r>
        <w:rPr>
          <w:u w:val="single"/>
        </w:rPr>
        <w:t xml:space="preserve">(3) The prosecutor is encouraged to divert cases under this section for assessment, treatment, or other services.</w:t>
      </w:r>
    </w:p>
    <w:p>
      <w:pPr>
        <w:spacing w:before="0" w:after="0" w:line="408" w:lineRule="exact"/>
        <w:ind w:left="0" w:right="0" w:firstLine="576"/>
        <w:jc w:val="left"/>
      </w:pPr>
      <w:r>
        <w:rPr>
          <w:u w:val="single"/>
        </w:rPr>
        <w:t xml:space="preserve">(4)</w:t>
      </w:r>
      <w:r>
        <w:rPr/>
        <w:t xml:space="preserve">(a)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Thirty-six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w:t>
      </w:r>
      <w:r>
        <w:t>((</w:t>
      </w:r>
      <w:r>
        <w:rPr>
          <w:strike/>
        </w:rPr>
        <w:t xml:space="preserve">twenty-one</w:t>
      </w:r>
      <w:r>
        <w:t>))</w:t>
      </w:r>
      <w:r>
        <w:rPr/>
        <w:t xml:space="preserve"> </w:t>
      </w:r>
      <w:r>
        <w:rPr>
          <w:u w:val="single"/>
        </w:rPr>
        <w:t xml:space="preserve">21</w:t>
      </w:r>
      <w:r>
        <w:rPr/>
        <w:t xml:space="preserve"> years of age may possess, manufacture, sell, or distribute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sell, deliver, or </w:t>
      </w:r>
      <w:r>
        <w:rPr>
          <w:u w:val="single"/>
        </w:rPr>
        <w:t xml:space="preserve">knowingly</w:t>
      </w:r>
      <w:r>
        <w:rPr/>
        <w:t xml:space="preserve"> possess </w:t>
      </w:r>
      <w:r>
        <w:rPr>
          <w:u w:val="single"/>
        </w:rPr>
        <w:t xml:space="preserve">more than a personal amount of</w:t>
      </w:r>
      <w:r>
        <w:rPr/>
        <w:t xml:space="preserve"> any legend drug </w:t>
      </w:r>
      <w:r>
        <w:t>((</w:t>
      </w:r>
      <w:r>
        <w:rPr>
          <w:strike/>
        </w:rPr>
        <w:t xml:space="preserve">except</w:t>
      </w:r>
      <w:r>
        <w:t>))</w:t>
      </w:r>
      <w:r>
        <w:rPr>
          <w:u w:val="single"/>
        </w:rPr>
        <w:t xml:space="preserve">; or</w:t>
      </w:r>
    </w:p>
    <w:p>
      <w:pPr>
        <w:spacing w:before="0" w:after="0" w:line="408" w:lineRule="exact"/>
        <w:ind w:left="0" w:right="0" w:firstLine="576"/>
        <w:jc w:val="left"/>
      </w:pPr>
      <w:r>
        <w:rPr>
          <w:u w:val="single"/>
        </w:rPr>
        <w:t xml:space="preserve">(b) A person under the age of 21 to knowingly possess a legend drug of any amount.</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The prosecutor is encouraged to divert such cases for assessment, treatment,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state of Washington hereby fully occupies and preempts the entire field of drug paraphernalia regulation within the boundaries of the state including regulation of the use, selling, giving, delivery, and possession of drug paraphernalia. Cities, towns, and counties or other municipalities may enact only those laws and ordinances relating to drug paraphernalia that are specifically authorized by state law and are consistent with this chapter. Such local ordinances shall have the same penalty as provided for by state law. Local laws and ordinances that are inconsistent with, more restrictive than, or exceed the requirements of state law shall not be enacted and are preempted and repealed, regardless of the nature of the code, charter, or home rule status of such city, town, county, or municipality.</w:t>
      </w:r>
    </w:p>
    <w:p>
      <w:pPr>
        <w:spacing w:before="240" w:after="0" w:line="408" w:lineRule="exact"/>
        <w:ind w:left="0" w:right="0" w:firstLine="576"/>
        <w:jc w:val="center"/>
      </w:pPr>
      <w:r>
        <w:rPr>
          <w:b/>
        </w:rPr>
        <w:t xml:space="preserve">PART II </w:t>
      </w:r>
      <w:r>
        <w:rPr>
          <w:rFonts w:ascii="Times New Roman" w:hAnsi="Times New Roman"/>
          <w:b/>
        </w:rPr>
        <w:t xml:space="preserve">–</w:t>
      </w:r>
      <w:r>
        <w:rPr>
          <w:b/>
        </w:rPr>
        <w:t xml:space="preserve"> Providing Legal Advocacy for Parents and Families Affected by Substance Use Disorders in Dependency and Child Custody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w:t>
      </w:r>
      <w:r>
        <w:t>((</w:t>
      </w:r>
      <w:r>
        <w:rPr>
          <w:strike/>
        </w:rPr>
        <w:t xml:space="preserve">eighteen</w:t>
      </w:r>
      <w:r>
        <w:t>))</w:t>
      </w:r>
      <w:r>
        <w:rPr/>
        <w:t xml:space="preserve"> </w:t>
      </w:r>
      <w:r>
        <w:rPr>
          <w:u w:val="single"/>
        </w:rPr>
        <w:t xml:space="preserve">18</w:t>
      </w:r>
      <w:r>
        <w:rPr/>
        <w:t xml:space="preserve">,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w:t>
      </w:r>
      <w:r>
        <w:t>((</w:t>
      </w:r>
      <w:r>
        <w:rPr>
          <w:strike/>
        </w:rPr>
        <w:t xml:space="preserve">Involuntarily committed to a public mental health facility</w:t>
      </w:r>
      <w:r>
        <w:t>))</w:t>
      </w:r>
      <w:r>
        <w:rPr/>
        <w:t xml:space="preserve"> </w:t>
      </w:r>
      <w:r>
        <w:rPr>
          <w:u w:val="single"/>
        </w:rPr>
        <w:t xml:space="preserve">In need of or receiving mental health, substance use, or behavioral health services</w:t>
      </w:r>
      <w:r>
        <w:rPr/>
        <w:t xml:space="preserve">;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parenting plan or child custody proceeding in which the court determines the child's parent, guardian, or custodian is affected by substance use disorders, mental health disorders, or behavioral health concerns, the parent, guardian, or custodian shall have the right to court-appointed counsel. The court may, in its discretion, appoint counsel for the child upon a finding that the appointment is in the best interests of the child.</w:t>
      </w:r>
    </w:p>
    <w:p>
      <w:pPr>
        <w:spacing w:before="240" w:after="0" w:line="408" w:lineRule="exact"/>
        <w:ind w:left="0" w:right="0" w:firstLine="576"/>
        <w:jc w:val="center"/>
      </w:pPr>
      <w:r>
        <w:rPr>
          <w:b/>
        </w:rPr>
        <w:t xml:space="preserve">PART III </w:t>
      </w:r>
      <w:r>
        <w:rPr>
          <w:rFonts w:ascii="Times New Roman" w:hAnsi="Times New Roman"/>
          <w:b/>
        </w:rPr>
        <w:t xml:space="preserve">–</w:t>
      </w:r>
      <w:r>
        <w:rPr>
          <w:b/>
        </w:rPr>
        <w:t xml:space="preserve">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provided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 including by expansion of a revolving fund program to make loans or grants available for recovery residence operators to use for necessary capital expenses;</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w:t>
      </w:r>
      <w:r>
        <w:rPr/>
        <w:t xml:space="preserve"> This exemption is subject to the administrative provisions contained in RCW 84.36.800 through 84.36.865.</w:t>
      </w:r>
    </w:p>
    <w:p>
      <w:pPr>
        <w:spacing w:before="240" w:after="0" w:line="408" w:lineRule="exact"/>
        <w:ind w:left="0" w:right="0" w:firstLine="576"/>
        <w:jc w:val="center"/>
      </w:pPr>
      <w:r>
        <w:rPr>
          <w:b/>
        </w:rPr>
        <w:t xml:space="preserve">PART IV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develop a training for parents of children and transition age youth with substance use disorders by June 30, 2024, addressing the following:</w:t>
      </w:r>
    </w:p>
    <w:p>
      <w:pPr>
        <w:spacing w:before="0" w:after="0" w:line="408" w:lineRule="exact"/>
        <w:ind w:left="0" w:right="0" w:firstLine="576"/>
        <w:jc w:val="left"/>
      </w:pPr>
      <w:r>
        <w:rPr/>
        <w:t xml:space="preserve">(a) Science and education related to substance use disorders;</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 and</w:t>
      </w:r>
    </w:p>
    <w:p>
      <w:pPr>
        <w:spacing w:before="0" w:after="0" w:line="408" w:lineRule="exact"/>
        <w:ind w:left="0" w:right="0" w:firstLine="576"/>
        <w:jc w:val="left"/>
      </w:pPr>
      <w:r>
        <w:rPr/>
        <w:t xml:space="preserve">(d) Means to obtain opioid overdose reversal medication when appropriate and instruction on proper use.</w:t>
      </w:r>
    </w:p>
    <w:p>
      <w:pPr>
        <w:spacing w:before="0" w:after="0" w:line="408" w:lineRule="exact"/>
        <w:ind w:left="0" w:right="0" w:firstLine="576"/>
        <w:jc w:val="left"/>
      </w:pPr>
      <w:r>
        <w:rPr/>
        <w:t xml:space="preserve">(2) The department shall make this training publicly available and promote the training to licensed foster parents.</w:t>
      </w:r>
    </w:p>
    <w:p>
      <w:pPr>
        <w:spacing w:before="0" w:after="0" w:line="408" w:lineRule="exact"/>
        <w:ind w:left="0" w:right="0" w:firstLine="576"/>
        <w:jc w:val="left"/>
      </w:pPr>
      <w:r>
        <w:rPr/>
        <w:t xml:space="preserve">(3) The department shall make opioid overdose reversal medication available for use by caseworkers or employees that may come in contact with individuals experiencing overdose and shall make appropriate training available.</w:t>
      </w:r>
    </w:p>
    <w:p>
      <w:pPr>
        <w:spacing w:before="240" w:after="0" w:line="408" w:lineRule="exact"/>
        <w:ind w:left="0" w:right="0" w:firstLine="576"/>
        <w:jc w:val="center"/>
      </w:pPr>
      <w:r>
        <w:rPr>
          <w:b/>
        </w:rPr>
        <w:t xml:space="preserve">PART V </w:t>
      </w:r>
      <w:r>
        <w:rPr>
          <w:rFonts w:ascii="Times New Roman" w:hAnsi="Times New Roman"/>
          <w:b/>
        </w:rPr>
        <w:t xml:space="preserve">–</w:t>
      </w:r>
      <w:r>
        <w:rPr>
          <w:b/>
        </w:rPr>
        <w:t xml:space="preserve"> Removing Language Prohibiting "Giving" or "Permitting to Give"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legal distribution of injection syringe equipment through public health and community</w:t>
      </w:r>
      <w:r>
        <w:rPr>
          <w:u w:val="single"/>
        </w:rPr>
        <w:t xml:space="preserve">-</w:t>
      </w:r>
      <w:r>
        <w:rPr/>
        <w:t xml:space="preserve">based HIV prevention programs, and pharmacies.</w:t>
      </w:r>
    </w:p>
    <w:p>
      <w:pPr>
        <w:spacing w:before="240" w:after="0" w:line="408" w:lineRule="exact"/>
        <w:ind w:left="0" w:right="0" w:firstLine="576"/>
        <w:jc w:val="center"/>
      </w:pPr>
      <w:r>
        <w:rPr>
          <w:b/>
        </w:rPr>
        <w:t xml:space="preserve">PART VI – Data Support for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recovery navigator programs, the health care authority shall develop and implement a data integration platform by June 30, 2024, to serve as a common database for diversion efforts across the state, to serve as a data collection and management tool for practitioners, and to assist in standardizing definitions and practices. If possible, the authority shall leverage and interact with existing platforms already in use in efforts funded by the authority. The authority shall establish a quality assurance process for behavioral health administrative services organizations, and employ data validation for fields in the data collection workbook.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 under RCW 71.24.115 with reports due by June 30th in the years 2028, 2033, and 2038. The Washington state institute for public policy shall collaborate with the authority and substance use recovery services advisory committee under RCW 71.24.546 on the topic of data collection and to determine the parameters of the report, which shall include recommendations, if any, for modification and improvement of the recovery navigator program. The authority shall cooperate with the Washington state institute for public policy to provide data for this report.</w:t>
      </w:r>
    </w:p>
    <w:p>
      <w:pPr>
        <w:spacing w:before="0" w:after="0" w:line="408" w:lineRule="exact"/>
        <w:ind w:left="0" w:right="0" w:firstLine="576"/>
        <w:jc w:val="left"/>
      </w:pPr>
      <w:r>
        <w:rPr/>
        <w:t xml:space="preserve">(2) The authority shall establish an expedited preapproval process by August 1, 2023, which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240" w:after="0" w:line="408" w:lineRule="exact"/>
        <w:ind w:left="0" w:right="0" w:firstLine="576"/>
        <w:jc w:val="center"/>
      </w:pPr>
      <w:r>
        <w:rPr>
          <w:b/>
        </w:rPr>
        <w:t xml:space="preserve">PART VII – Establishing Rules and Payment Structures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develop licensure standards and payment structures for health engagement hubs by January 1, 2024.</w:t>
      </w:r>
    </w:p>
    <w:p>
      <w:pPr>
        <w:spacing w:before="0" w:after="0" w:line="408" w:lineRule="exact"/>
        <w:ind w:left="0" w:right="0" w:firstLine="576"/>
        <w:jc w:val="left"/>
      </w:pPr>
      <w:r>
        <w:rPr/>
        <w:t xml:space="preserve">(2) The department shall include invited stakeholders in the rule-making process which shall include, but not be limited to, individuals from geographic regions in Washington with lower population density, eastern Washington, rural areas, and tribal nations.</w:t>
      </w:r>
    </w:p>
    <w:p>
      <w:pPr>
        <w:spacing w:before="0" w:after="0" w:line="408" w:lineRule="exact"/>
        <w:ind w:left="0" w:right="0" w:firstLine="576"/>
        <w:jc w:val="left"/>
      </w:pPr>
      <w:r>
        <w:rPr/>
        <w:t xml:space="preserve">(3) A health engagement hub:</w:t>
      </w:r>
    </w:p>
    <w:p>
      <w:pPr>
        <w:spacing w:before="0" w:after="0" w:line="408" w:lineRule="exact"/>
        <w:ind w:left="0" w:right="0" w:firstLine="576"/>
        <w:jc w:val="left"/>
      </w:pPr>
      <w:r>
        <w:rPr/>
        <w:t xml:space="preserve">(a) May be a mobile or fixed-site opioid treatment program medication unit. Fixed-site medication units may operate at sites such as hospitals, federally qualified health centers, syringe service programs, community mental health facilities, skilled nursing facilities, or other settings frequented by people who have not historically been well-served by the behavioral health treatment system;</w:t>
      </w:r>
    </w:p>
    <w:p>
      <w:pPr>
        <w:spacing w:before="0" w:after="0" w:line="408" w:lineRule="exact"/>
        <w:ind w:left="0" w:right="0" w:firstLine="576"/>
        <w:jc w:val="left"/>
      </w:pPr>
      <w:r>
        <w:rPr/>
        <w:t xml:space="preserve">(b) Provides access to methadone and other medications for opioid addiction;</w:t>
      </w:r>
    </w:p>
    <w:p>
      <w:pPr>
        <w:spacing w:before="0" w:after="0" w:line="408" w:lineRule="exact"/>
        <w:ind w:left="0" w:right="0" w:firstLine="576"/>
        <w:jc w:val="left"/>
      </w:pPr>
      <w:r>
        <w:rPr/>
        <w:t xml:space="preserve">(c) Functions as a patient-centered medical home by offering high-quality, cost-effective patient-centered care, including wound care;</w:t>
      </w:r>
    </w:p>
    <w:p>
      <w:pPr>
        <w:spacing w:before="0" w:after="0" w:line="408" w:lineRule="exact"/>
        <w:ind w:left="0" w:right="0" w:firstLine="576"/>
        <w:jc w:val="left"/>
      </w:pPr>
      <w:r>
        <w:rPr/>
        <w:t xml:space="preserve">(d) Provides harm reduction services and supplies;</w:t>
      </w:r>
    </w:p>
    <w:p>
      <w:pPr>
        <w:spacing w:before="0" w:after="0" w:line="408" w:lineRule="exact"/>
        <w:ind w:left="0" w:right="0" w:firstLine="576"/>
        <w:jc w:val="left"/>
      </w:pPr>
      <w:r>
        <w:rPr/>
        <w:t xml:space="preserve">(e) Provides linkage to housing, transportation, and other support services; and</w:t>
      </w:r>
    </w:p>
    <w:p>
      <w:pPr>
        <w:spacing w:before="0" w:after="0" w:line="408" w:lineRule="exact"/>
        <w:ind w:left="0" w:right="0" w:firstLine="576"/>
        <w:jc w:val="left"/>
      </w:pPr>
      <w:r>
        <w:rPr/>
        <w:t xml:space="preserve">(f) Is open to youth as well as adults.</w:t>
      </w:r>
    </w:p>
    <w:p>
      <w:pPr>
        <w:spacing w:before="0" w:after="0" w:line="408" w:lineRule="exact"/>
        <w:ind w:left="0" w:right="0" w:firstLine="576"/>
        <w:jc w:val="left"/>
      </w:pPr>
      <w:r>
        <w:rPr/>
        <w:t xml:space="preserve">(4) To the extent allowed under federal law, the authority shall direct medicaid managed care organizations to adopt a value-based bundled payment methodology in contracts with health engagement hubs and other opioid treatment providers.</w:t>
      </w:r>
    </w:p>
    <w:p>
      <w:pPr>
        <w:spacing w:before="0" w:after="0" w:line="408" w:lineRule="exact"/>
        <w:ind w:left="0" w:right="0" w:firstLine="576"/>
        <w:jc w:val="left"/>
      </w:pPr>
      <w:r>
        <w:rPr/>
        <w:t xml:space="preserve">(5) The authority shall make sufficient funding available to ensure that a health engagement hub is available within a two-hour drive for all communities and that there is at least one health engagement hub available per 200,000 residents in Washington state.</w:t>
      </w:r>
    </w:p>
    <w:p>
      <w:pPr>
        <w:spacing w:before="240" w:after="0" w:line="408" w:lineRule="exact"/>
        <w:ind w:left="0" w:right="0" w:firstLine="576"/>
        <w:jc w:val="center"/>
      </w:pPr>
      <w:r>
        <w:rPr>
          <w:b/>
        </w:rPr>
        <w:t xml:space="preserve">PART VIII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IX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department shall contract with a vendor to provide a statewide tool to map and direct individuals with behavioral health disorders to treatment and recovery support services locations. The tool shall be dynamically updated.</w:t>
      </w:r>
    </w:p>
    <w:p>
      <w:pPr>
        <w:spacing w:before="240" w:after="0" w:line="408" w:lineRule="exact"/>
        <w:ind w:left="0" w:right="0" w:firstLine="576"/>
        <w:jc w:val="center"/>
      </w:pPr>
      <w:r>
        <w:rPr>
          <w:b/>
        </w:rPr>
        <w:t xml:space="preserve">PART X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investments in the 2023-2025 biennium substantially over baseline levels established in the 2021-2023 operating and capital budgets to increase the provision of evidence-based prearrest and prefiling diversion programs in all regions of the state. Services which shall be increased and included in every health purchasing region include crisis stabilization units, mobile crisis response services for youth and adults, recovery navigator programs, and law enforcement assisted diversion.</w:t>
      </w:r>
    </w:p>
    <w:p>
      <w:pPr>
        <w:spacing w:before="240" w:after="0" w:line="408" w:lineRule="exact"/>
        <w:ind w:left="0" w:right="0" w:firstLine="576"/>
        <w:jc w:val="center"/>
      </w:pPr>
      <w:r>
        <w:rPr>
          <w:b/>
        </w:rPr>
        <w:t xml:space="preserve">PART XI – Streamlining Substance Use Disorder Treatment Intakes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processing intakes and to make the intake process as brief as possible, including only what is necessary to manage utilization and initiate care. The intake shall be low barrier, person-centered, and amenable to administration in diverse health care settings and by a range of health care professionals. The intake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and other individuals recommended by the authority. The work group shall present its recommendations to the governor and appropriate committees of the legislature by December 1, 2024.</w:t>
      </w:r>
    </w:p>
    <w:p>
      <w:pPr>
        <w:spacing w:before="240" w:after="0" w:line="408" w:lineRule="exact"/>
        <w:ind w:left="0" w:right="0" w:firstLine="576"/>
        <w:jc w:val="center"/>
      </w:pPr>
      <w:r>
        <w:rPr>
          <w:b/>
        </w:rPr>
        <w:t xml:space="preserve">PART XII – Establishing the Safe-Supply Work Group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statewide safe supply work group is created.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(2) The work group membership shall consist of, but is not limited to, members appointed by the governor representing the following:</w:t>
      </w:r>
    </w:p>
    <w:p>
      <w:pPr>
        <w:spacing w:before="0" w:after="0" w:line="408" w:lineRule="exact"/>
        <w:ind w:left="0" w:right="0" w:firstLine="576"/>
        <w:jc w:val="left"/>
      </w:pPr>
      <w:r>
        <w:rPr/>
        <w:t xml:space="preserve">(a) At least one adult in recovery from substance use disorder;</w:t>
      </w:r>
    </w:p>
    <w:p>
      <w:pPr>
        <w:spacing w:before="0" w:after="0" w:line="408" w:lineRule="exact"/>
        <w:ind w:left="0" w:right="0" w:firstLine="576"/>
        <w:jc w:val="left"/>
      </w:pPr>
      <w:r>
        <w:rPr/>
        <w:t xml:space="preserve">(b) At least one youth in recovery from substance use disorder;</w:t>
      </w:r>
    </w:p>
    <w:p>
      <w:pPr>
        <w:spacing w:before="0" w:after="0" w:line="408" w:lineRule="exact"/>
        <w:ind w:left="0" w:right="0" w:firstLine="576"/>
        <w:jc w:val="left"/>
      </w:pPr>
      <w:r>
        <w:rPr/>
        <w:t xml:space="preserve">(c) One expert from the addictions, drug, and alcohol institute at the University of Washington;</w:t>
      </w:r>
    </w:p>
    <w:p>
      <w:pPr>
        <w:spacing w:before="0" w:after="0" w:line="408" w:lineRule="exact"/>
        <w:ind w:left="0" w:right="0" w:firstLine="576"/>
        <w:jc w:val="left"/>
      </w:pPr>
      <w:r>
        <w:rPr/>
        <w:t xml:space="preserve">(d) One outreach services provider;</w:t>
      </w:r>
    </w:p>
    <w:p>
      <w:pPr>
        <w:spacing w:before="0" w:after="0" w:line="408" w:lineRule="exact"/>
        <w:ind w:left="0" w:right="0" w:firstLine="576"/>
        <w:jc w:val="left"/>
      </w:pPr>
      <w:r>
        <w:rPr/>
        <w:t xml:space="preserve">(e) One substance use disorder treatment provider;</w:t>
      </w:r>
    </w:p>
    <w:p>
      <w:pPr>
        <w:spacing w:before="0" w:after="0" w:line="408" w:lineRule="exact"/>
        <w:ind w:left="0" w:right="0" w:firstLine="576"/>
        <w:jc w:val="left"/>
      </w:pPr>
      <w:r>
        <w:rPr/>
        <w:t xml:space="preserve">(f) One peer recovery services provider;</w:t>
      </w:r>
    </w:p>
    <w:p>
      <w:pPr>
        <w:spacing w:before="0" w:after="0" w:line="408" w:lineRule="exact"/>
        <w:ind w:left="0" w:right="0" w:firstLine="576"/>
        <w:jc w:val="left"/>
      </w:pPr>
      <w:r>
        <w:rPr/>
        <w:t xml:space="preserve">(g) One recovery housing provider;</w:t>
      </w:r>
    </w:p>
    <w:p>
      <w:pPr>
        <w:spacing w:before="0" w:after="0" w:line="408" w:lineRule="exact"/>
        <w:ind w:left="0" w:right="0" w:firstLine="576"/>
        <w:jc w:val="left"/>
      </w:pPr>
      <w:r>
        <w:rPr/>
        <w:t xml:space="preserve">(h) One expert in serving persons with co-occurring substance use disorders and mental health conditions;</w:t>
      </w:r>
    </w:p>
    <w:p>
      <w:pPr>
        <w:spacing w:before="0" w:after="0" w:line="408" w:lineRule="exact"/>
        <w:ind w:left="0" w:right="0" w:firstLine="576"/>
        <w:jc w:val="left"/>
      </w:pPr>
      <w:r>
        <w:rPr/>
        <w:t xml:space="preserve">(i) One expert in antiracism and equity in health care delivery systems;</w:t>
      </w:r>
    </w:p>
    <w:p>
      <w:pPr>
        <w:spacing w:before="0" w:after="0" w:line="408" w:lineRule="exact"/>
        <w:ind w:left="0" w:right="0" w:firstLine="576"/>
        <w:jc w:val="left"/>
      </w:pPr>
      <w:r>
        <w:rPr/>
        <w:t xml:space="preserve">(j)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(k) One representative of the association of Washington healthcare plans;</w:t>
      </w:r>
    </w:p>
    <w:p>
      <w:pPr>
        <w:spacing w:before="0" w:after="0" w:line="408" w:lineRule="exact"/>
        <w:ind w:left="0" w:right="0" w:firstLine="576"/>
        <w:jc w:val="left"/>
      </w:pPr>
      <w:r>
        <w:rPr/>
        <w:t xml:space="preserve">(l) One representative of sheriffs and police chiefs;</w:t>
      </w:r>
    </w:p>
    <w:p>
      <w:pPr>
        <w:spacing w:before="0" w:after="0" w:line="408" w:lineRule="exact"/>
        <w:ind w:left="0" w:right="0" w:firstLine="576"/>
        <w:jc w:val="left"/>
      </w:pPr>
      <w:r>
        <w:rPr/>
        <w:t xml:space="preserve">(m) One representative of a federally recognized tribe; and</w:t>
      </w:r>
    </w:p>
    <w:p>
      <w:pPr>
        <w:spacing w:before="0" w:after="0" w:line="408" w:lineRule="exact"/>
        <w:ind w:left="0" w:right="0" w:firstLine="576"/>
        <w:jc w:val="left"/>
      </w:pPr>
      <w:r>
        <w:rPr/>
        <w:t xml:space="preserve">(n) One representative of local government.</w:t>
      </w:r>
    </w:p>
    <w:p>
      <w:pPr>
        <w:spacing w:before="0" w:after="0" w:line="408" w:lineRule="exact"/>
        <w:ind w:left="0" w:right="0" w:firstLine="576"/>
        <w:jc w:val="left"/>
      </w:pPr>
      <w:r>
        <w:rPr/>
        <w:t xml:space="preserve">(3) The work group's evaluation shall include, but is not limited to, the following:</w:t>
      </w:r>
    </w:p>
    <w:p>
      <w:pPr>
        <w:spacing w:before="0" w:after="0" w:line="408" w:lineRule="exact"/>
        <w:ind w:left="0" w:right="0" w:firstLine="576"/>
        <w:jc w:val="left"/>
      </w:pPr>
      <w:r>
        <w:rPr/>
        <w:t xml:space="preserve">(a)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(b)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(c)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(d) Examining historical evidence regarding the overprescribing of opioids; and</w:t>
      </w:r>
    </w:p>
    <w:p>
      <w:pPr>
        <w:spacing w:before="0" w:after="0" w:line="408" w:lineRule="exact"/>
        <w:ind w:left="0" w:right="0" w:firstLine="576"/>
        <w:jc w:val="left"/>
      </w:pPr>
      <w:r>
        <w:rPr/>
        <w:t xml:space="preserve">(e) Examining whether there is evidence that a proposed "safe supply" would be accompanied by any other benefits or consequences.</w:t>
      </w:r>
    </w:p>
    <w:p>
      <w:pPr>
        <w:spacing w:before="0" w:after="0" w:line="408" w:lineRule="exact"/>
        <w:ind w:left="0" w:right="0" w:firstLine="576"/>
        <w:jc w:val="left"/>
      </w:pPr>
      <w:r>
        <w:rPr/>
        <w:t xml:space="preserve">(4) Staffing for the work group shall be provided by the authority.</w:t>
      </w:r>
    </w:p>
    <w:p>
      <w:pPr>
        <w:spacing w:before="0" w:after="0" w:line="408" w:lineRule="exact"/>
        <w:ind w:left="0" w:right="0" w:firstLine="576"/>
        <w:jc w:val="left"/>
      </w:pPr>
      <w:r>
        <w:rPr/>
        <w:t xml:space="preserve">(5) The work group shall provide a preliminary report and recommendations to the governor and appropriate committees of the legislature by December 1, 2023, and shall provide a final report by December 1, 2024.</w:t>
      </w:r>
    </w:p>
    <w:p>
      <w:pPr>
        <w:spacing w:before="240" w:after="0" w:line="408" w:lineRule="exact"/>
        <w:ind w:left="0" w:right="0" w:firstLine="576"/>
        <w:jc w:val="center"/>
      </w:pPr>
      <w:r>
        <w:rPr>
          <w:b/>
        </w:rPr>
        <w:t xml:space="preserve">PART XIII –</w:t>
      </w:r>
      <w:r>
        <w:rPr>
          <w:b/>
        </w:rPr>
        <w:t xml:space="preserve"> Opioid Treatment Program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including syringe service programs,</w:t>
      </w:r>
      <w:r>
        <w:rPr/>
        <w:t xml:space="preserve"> and inpatient facilities including substance abuse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w:t>
      </w:r>
      <w:r>
        <w:t>))</w:t>
      </w:r>
      <w:r>
        <w:rPr/>
        <w:t xml:space="preserve"> </w:t>
      </w:r>
      <w:r>
        <w:rPr>
          <w:u w:val="single"/>
        </w:rPr>
        <w:t xml:space="preserve">(7)</w:t>
      </w:r>
      <w:r>
        <w:rPr/>
        <w:t xml:space="preserve"> or </w:t>
      </w:r>
      <w:r>
        <w:t>((</w:t>
      </w:r>
      <w:r>
        <w:rPr>
          <w:strike/>
        </w:rPr>
        <w:t xml:space="preserve">(15)</w:t>
      </w:r>
      <w:r>
        <w:t>))</w:t>
      </w:r>
      <w:r>
        <w:rPr/>
        <w:t xml:space="preserve"> </w:t>
      </w:r>
      <w:r>
        <w:rPr>
          <w:u w:val="single"/>
        </w:rPr>
        <w:t xml:space="preserve">(16)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r>
        <w:t>((</w:t>
      </w:r>
      <w:r>
        <w:rPr>
          <w:strike/>
        </w:rPr>
        <w:t xml:space="preserve">;</w:t>
      </w:r>
    </w:p>
    <w:p>
      <w:pPr>
        <w:spacing w:before="0" w:after="0" w:line="408" w:lineRule="exact"/>
        <w:ind w:left="0" w:right="0" w:firstLine="576"/>
        <w:jc w:val="left"/>
      </w:pPr>
      <w:r>
        <w:rPr>
          <w:strike/>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w:t>
      </w:r>
    </w:p>
    <w:p>
      <w:pPr>
        <w:spacing w:before="0" w:after="0" w:line="408" w:lineRule="exact"/>
        <w:ind w:left="0" w:right="0" w:firstLine="576"/>
        <w:jc w:val="left"/>
      </w:pPr>
      <w:r>
        <w:rPr>
          <w:u w:val="single"/>
        </w:rPr>
        <w:t xml:space="preserve">(b) Is either a mobile or fixed-site medication unit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Provides a comprehensive range of medical and rehabilitative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opioid treatment programs in regions of the state which currently lack access to such programs.</w:t>
      </w:r>
    </w:p>
    <w:p>
      <w:pPr>
        <w:spacing w:before="0" w:after="0" w:line="408" w:lineRule="exact"/>
        <w:ind w:left="0" w:right="0" w:firstLine="576"/>
        <w:jc w:val="left"/>
      </w:pPr>
      <w:r>
        <w:rPr/>
        <w:t xml:space="preserve">(2) This funding must be used to increase the number of opioid treatment programs in underserved areas such as central and eastern Washington and rural areas.</w:t>
      </w:r>
    </w:p>
    <w:p/>
    <w:p>
      <w:pPr>
        <w:jc w:val="center"/>
      </w:pPr>
      <w:r>
        <w:rPr>
          <w:b/>
        </w:rPr>
        <w:t>--- END ---</w:t>
      </w:r>
    </w:p>
    <w:sectPr>
      <w:pgNumType w:start="1"/>
      <w:footerReference xmlns:r="http://schemas.openxmlformats.org/officeDocument/2006/relationships" r:id="Rdcdc4a9edeaf40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b06c57c34a4c30" /><Relationship Type="http://schemas.openxmlformats.org/officeDocument/2006/relationships/footer" Target="/word/footer1.xml" Id="Rdcdc4a9edeaf40b6" /></Relationships>
</file>