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fc8415c4c4088" /></Relationships>
</file>

<file path=word/document.xml><?xml version="1.0" encoding="utf-8"?>
<w:document xmlns:w="http://schemas.openxmlformats.org/wordprocessingml/2006/main">
  <w:body>
    <w:p>
      <w:r>
        <w:t>S-1603.1</w:t>
      </w:r>
    </w:p>
    <w:p>
      <w:pPr>
        <w:jc w:val="center"/>
      </w:pPr>
      <w:r>
        <w:t>_______________________________________________</w:t>
      </w:r>
    </w:p>
    <w:p/>
    <w:p>
      <w:pPr>
        <w:jc w:val="center"/>
      </w:pPr>
      <w:r>
        <w:rPr>
          <w:b/>
        </w:rPr>
        <w:t>SUBSTITUTE SENATE BILL 5730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Housing (originally sponsored by Senator Fortunato)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impounds of vehicles used as residences; amending RCW 46.55.120, 46.68.175, 46.17.380, 43.84.092, and 43.84.092; adding a new section to chapter 46.53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w:t>
      </w:r>
      <w:r>
        <w:t>((</w:t>
      </w:r>
      <w:r>
        <w:rPr>
          <w:strike/>
        </w:rPr>
        <w:t xml:space="preserve">or</w:t>
      </w:r>
      <w:r>
        <w:t>))</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r>
        <w:rPr>
          <w:u w:val="single"/>
        </w:rPr>
        <w:t xml:space="preserve">; or</w:t>
      </w:r>
    </w:p>
    <w:p>
      <w:pPr>
        <w:spacing w:before="0" w:after="0" w:line="408" w:lineRule="exact"/>
        <w:ind w:left="0" w:right="0" w:firstLine="576"/>
        <w:jc w:val="left"/>
      </w:pPr>
      <w:r>
        <w:rPr>
          <w:u w:val="single"/>
        </w:rPr>
        <w:t xml:space="preserve">(ix) A person who is authorized by a court to redeem the vehicle after an impound hearing or other procedure.</w:t>
      </w:r>
    </w:p>
    <w:p>
      <w:pPr>
        <w:spacing w:before="0" w:after="0" w:line="408" w:lineRule="exact"/>
        <w:ind w:left="0" w:right="0" w:firstLine="576"/>
        <w:jc w:val="left"/>
      </w:pPr>
      <w:r>
        <w:rPr>
          <w:u w:val="single"/>
        </w:rPr>
        <w:t xml:space="preserve">(A) A court or administrative hearing officer, for the jurisdiction in which the vehicle was impounded, may order the release of the vehicle to any person meeting the criteria in (a)(i) through (viii) of this subsection after a hearing or legal proceeding.</w:t>
      </w:r>
    </w:p>
    <w:p>
      <w:pPr>
        <w:spacing w:before="0" w:after="0" w:line="408" w:lineRule="exact"/>
        <w:ind w:left="0" w:right="0" w:firstLine="576"/>
        <w:jc w:val="left"/>
      </w:pPr>
      <w:r>
        <w:rPr>
          <w:u w:val="single"/>
        </w:rPr>
        <w:t xml:space="preserve">(B) If ownership of the vehicle or authorization from the legal or registered owner to use, reside in, or retrieve the vehicle is disputed, a court or hearing officer may review any additionally presented information and evidence at a court or administrative hearing. If a person is unable to present sufficient evidence that the person meets the criteria in (a)(i) through (viii) of this subsection, a court, with good cause, may set aside the hearing for up to 15 business days, unless extenuating circumstances require additional time, to allow the person an opportunity to file appropriate ownership paperwork with the department or to obtain written authorization from the legal or registered owner to redeem the vehicle. If a claimant files a claim under RCW 46.12.680 during this additional time, a court may grant an additional continuance until that legal proceeding has ended</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w:t>
      </w:r>
      <w:r>
        <w:t>((</w:t>
      </w:r>
      <w:r>
        <w:rPr>
          <w:strike/>
        </w:rPr>
        <w:t xml:space="preserve">ten</w:t>
      </w:r>
      <w:r>
        <w:t>))</w:t>
      </w:r>
      <w:r>
        <w:rPr/>
        <w:t xml:space="preserve"> </w:t>
      </w:r>
      <w:r>
        <w:rPr>
          <w:u w:val="single"/>
        </w:rPr>
        <w:t xml:space="preserve">10</w:t>
      </w:r>
      <w:r>
        <w:rPr/>
        <w:t xml:space="preserve">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w:t>
      </w:r>
      <w:r>
        <w:rPr>
          <w:u w:val="single"/>
        </w:rPr>
        <w:t xml:space="preserve">The court may consider a late request for a hearing for good cause when the vehicle is used as a residence if the request is made in writing on a form provided for that purpose more than five days before the date of the auction.</w:t>
      </w:r>
      <w:r>
        <w:rPr/>
        <w:t xml:space="preserve"> At the time of the filing of the hearing request, the petitioner shall pay to the court clerk a filing fee in the same amount required for the filing of a suit in district court. If the hearing request is not received by the court within the </w:t>
      </w:r>
      <w:r>
        <w:t>((</w:t>
      </w:r>
      <w:r>
        <w:rPr>
          <w:strike/>
        </w:rPr>
        <w:t xml:space="preserve">ten-day</w:t>
      </w:r>
      <w:r>
        <w:t>))</w:t>
      </w:r>
      <w:r>
        <w:rPr/>
        <w:t xml:space="preserve"> </w:t>
      </w:r>
      <w:r>
        <w:rPr>
          <w:u w:val="single"/>
        </w:rPr>
        <w:t xml:space="preserve">10-day</w:t>
      </w:r>
      <w:r>
        <w:rPr/>
        <w:t xml:space="preserve"> period </w:t>
      </w:r>
      <w:r>
        <w:rPr>
          <w:u w:val="single"/>
        </w:rPr>
        <w:t xml:space="preserve">or by the extended deadline authorized for a vehicle used as a residence</w:t>
      </w:r>
      <w:r>
        <w:rPr/>
        <w:t xml:space="preserve">,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w:t>
      </w:r>
    </w:p>
    <w:p>
      <w:pPr>
        <w:spacing w:before="0" w:after="0" w:line="408" w:lineRule="exact"/>
        <w:ind w:left="0" w:right="0" w:firstLine="576"/>
        <w:jc w:val="left"/>
      </w:pPr>
      <w:r>
        <w:rPr>
          <w:u w:val="single"/>
        </w:rPr>
        <w:t xml:space="preserve">(i)</w:t>
      </w:r>
      <w:r>
        <w:rPr/>
        <w:t xml:space="preserve"> The court may not adjust fees or charges that are in compliance with the posted or contracted rates.</w:t>
      </w:r>
    </w:p>
    <w:p>
      <w:pPr>
        <w:spacing w:before="0" w:after="0" w:line="408" w:lineRule="exact"/>
        <w:ind w:left="0" w:right="0" w:firstLine="576"/>
        <w:jc w:val="left"/>
      </w:pPr>
      <w:r>
        <w:rPr>
          <w:u w:val="single"/>
        </w:rPr>
        <w:t xml:space="preserve">(ii) If the court finds that a vehicle is used as a residence, the court may consider the person's ability to pay the towing and storage fees charged and may reduce such fees if the court finds the person to be indigent. The department must pay the difference between the reduced fees and the tow truck operator's actual costs for the towing and storage.</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If a court reduces towing and storage fees of a vehicle used as a residence by a person found to be indigent by the court, the registered tow truck operator may apply to the department on a form prescribed by the department for costs reimbursement to pay the difference between any reduced towing and storage fees and the tow truck operator's actual costs for the towing and storage.</w:t>
      </w:r>
    </w:p>
    <w:p>
      <w:pPr>
        <w:spacing w:before="0" w:after="0" w:line="408" w:lineRule="exact"/>
        <w:ind w:left="0" w:right="0" w:firstLine="576"/>
        <w:jc w:val="left"/>
      </w:pPr>
      <w:r>
        <w:rPr/>
        <w:t xml:space="preserve">(2) The department may only use funds as authorized under RCW 46.68.175 for costs reimbursement of a vehicle used as a residence.</w:t>
      </w:r>
    </w:p>
    <w:p>
      <w:pPr>
        <w:spacing w:before="0" w:after="0" w:line="408" w:lineRule="exact"/>
        <w:ind w:left="0" w:right="0" w:firstLine="576"/>
        <w:jc w:val="left"/>
      </w:pPr>
      <w:r>
        <w:rPr/>
        <w:t xml:space="preserve">(3) The department must seek reimbursement from the impounding authority for any cost reimbursement paid to a registered tow truck operator using funds authorized under RCW 46.68.175. Any repayment made by an impounding authority to the department must be deposited into the abandoned recreational vehicle disposal and indigent impound account created under RCW 46.68.175.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175</w:t>
      </w:r>
      <w:r>
        <w:rPr/>
        <w:t xml:space="preserve"> and 2018 c 287 s 6 are each amended to read as follows:</w:t>
      </w:r>
    </w:p>
    <w:p>
      <w:pPr>
        <w:spacing w:before="0" w:after="0" w:line="408" w:lineRule="exact"/>
        <w:ind w:left="0" w:right="0" w:firstLine="576"/>
        <w:jc w:val="left"/>
      </w:pPr>
      <w:r>
        <w:rPr/>
        <w:t xml:space="preserve">(1) The abandoned recreational vehicle disposal </w:t>
      </w:r>
      <w:r>
        <w:rPr>
          <w:u w:val="single"/>
        </w:rPr>
        <w:t xml:space="preserve">and indigent impound</w:t>
      </w:r>
      <w:r>
        <w:rPr/>
        <w:t xml:space="preserve"> account is created in the state treasury. All receipts from the fee imposed in RCW 46.17.380 must be deposited into the account. The account may receive fund transfers and appropriations from the general fund, as well as gifts, grants, and endowments from public or private sources, in trust or otherwise, for the use and benefit of the purposes of chapter 287, Laws of 2018</w:t>
      </w:r>
      <w:r>
        <w:rPr>
          <w:u w:val="single"/>
        </w:rPr>
        <w:t xml:space="preserve">, or section 3, chapter . . ., Laws of 2023 (section 3 of this act),</w:t>
      </w:r>
      <w:r>
        <w:rPr/>
        <w:t xml:space="preserve"> and expend any income according to the terms of the gifts, grants, or endowments, provided that those terms do not conflict with any provisions of this section or any guidelines developed to prioritize reimbursement of removal projects associated with chapter 287, Laws of 2018</w:t>
      </w:r>
      <w:r>
        <w:rPr>
          <w:u w:val="single"/>
        </w:rPr>
        <w:t xml:space="preserve">, or section 3, chapter . . ., Laws of 2023 (section 3 of this act)</w:t>
      </w:r>
      <w:r>
        <w:rPr/>
        <w:t xml:space="preserve">.</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w:t>
      </w:r>
      <w:r>
        <w:t>((</w:t>
      </w:r>
      <w:r>
        <w:rPr>
          <w:strike/>
        </w:rPr>
        <w:t xml:space="preserve">registered</w:t>
      </w:r>
      <w:r>
        <w:t>))</w:t>
      </w:r>
      <w:r>
        <w:rPr>
          <w:u w:val="single"/>
        </w:rPr>
        <w:t xml:space="preserve">:</w:t>
      </w:r>
    </w:p>
    <w:p>
      <w:pPr>
        <w:spacing w:before="0" w:after="0" w:line="408" w:lineRule="exact"/>
        <w:ind w:left="0" w:right="0" w:firstLine="576"/>
        <w:jc w:val="left"/>
      </w:pPr>
      <w:r>
        <w:rPr>
          <w:u w:val="single"/>
        </w:rPr>
        <w:t xml:space="preserve">(a) Registered</w:t>
      </w:r>
      <w:r>
        <w:rPr/>
        <w:t xml:space="preserve"> tow truck operators and licensed dismantlers for up to </w:t>
      </w:r>
      <w:r>
        <w:t>((</w:t>
      </w:r>
      <w:r>
        <w:rPr>
          <w:strike/>
        </w:rPr>
        <w:t xml:space="preserve">one hundred</w:t>
      </w:r>
      <w:r>
        <w:t>))</w:t>
      </w:r>
      <w:r>
        <w:rPr/>
        <w:t xml:space="preserve"> </w:t>
      </w:r>
      <w:r>
        <w:rPr>
          <w:u w:val="single"/>
        </w:rPr>
        <w:t xml:space="preserve">100</w:t>
      </w:r>
      <w:r>
        <w:rPr/>
        <w:t xml:space="preserve"> percent of the total reasonable and auditable administrative costs for transport, dismantling, and disposal of abandoned recreational vehicles under RCW 46.53.010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RCW 46.53.010</w:t>
      </w:r>
      <w:r>
        <w:rPr>
          <w:u w:val="single"/>
        </w:rPr>
        <w:t xml:space="preserve">; or</w:t>
      </w:r>
    </w:p>
    <w:p>
      <w:pPr>
        <w:spacing w:before="0" w:after="0" w:line="408" w:lineRule="exact"/>
        <w:ind w:left="0" w:right="0" w:firstLine="576"/>
        <w:jc w:val="left"/>
      </w:pPr>
      <w:r>
        <w:rPr>
          <w:u w:val="single"/>
        </w:rPr>
        <w:t xml:space="preserve">(b) A registered tow truck operator for costs related to a vehicle used as a residence to pay the difference between any reduced towing and storage fees and the tow truck operator's actual costs for the towing and storage</w:t>
      </w:r>
      <w:r>
        <w:rPr/>
        <w:t xml:space="preserve">.</w:t>
      </w:r>
    </w:p>
    <w:p>
      <w:pPr>
        <w:spacing w:before="0" w:after="0" w:line="408" w:lineRule="exact"/>
        <w:ind w:left="0" w:right="0" w:firstLine="576"/>
        <w:jc w:val="left"/>
      </w:pPr>
      <w:r>
        <w:rPr/>
        <w:t xml:space="preserve">(3) Funds in the account resulting from transfers from the general fund must be used to reimburse </w:t>
      </w:r>
      <w:r>
        <w:t>((</w:t>
      </w:r>
      <w:r>
        <w:rPr>
          <w:strike/>
        </w:rPr>
        <w:t xml:space="preserve">one hundred</w:t>
      </w:r>
      <w:r>
        <w:t>))</w:t>
      </w:r>
      <w:r>
        <w:rPr/>
        <w:t xml:space="preserve"> </w:t>
      </w:r>
      <w:r>
        <w:rPr>
          <w:u w:val="single"/>
        </w:rPr>
        <w:t xml:space="preserve">100</w:t>
      </w:r>
      <w:r>
        <w:rPr/>
        <w:t xml:space="preserve"> percent of eligible costs up to a limit of </w:t>
      </w:r>
      <w:r>
        <w:t>((</w:t>
      </w:r>
      <w:r>
        <w:rPr>
          <w:strike/>
        </w:rPr>
        <w:t xml:space="preserve">ten thousand dollars</w:t>
      </w:r>
      <w:r>
        <w:t>))</w:t>
      </w:r>
      <w:r>
        <w:rPr/>
        <w:t xml:space="preserve"> </w:t>
      </w:r>
      <w:r>
        <w:rPr>
          <w:u w:val="single"/>
        </w:rPr>
        <w:t xml:space="preserve">$10,000</w:t>
      </w:r>
      <w:r>
        <w:rPr/>
        <w:t xml:space="preserve"> per vehicle for which cost reimbursements are requested.</w:t>
      </w:r>
    </w:p>
    <w:p>
      <w:pPr>
        <w:spacing w:before="0" w:after="0" w:line="408" w:lineRule="exact"/>
        <w:ind w:left="0" w:right="0" w:firstLine="576"/>
        <w:jc w:val="left"/>
      </w:pPr>
      <w:r>
        <w:rPr/>
        <w:t xml:space="preserve">(4) In each fiscal biennium, beginning in the 2019-2021 fiscal biennium, up to </w:t>
      </w:r>
      <w:r>
        <w:t>((</w:t>
      </w:r>
      <w:r>
        <w:rPr>
          <w:strike/>
        </w:rPr>
        <w:t xml:space="preserve">fifteen</w:t>
      </w:r>
      <w:r>
        <w:t>))</w:t>
      </w:r>
      <w:r>
        <w:rPr/>
        <w:t xml:space="preserve"> </w:t>
      </w:r>
      <w:r>
        <w:rPr>
          <w:u w:val="single"/>
        </w:rPr>
        <w:t xml:space="preserve">15</w:t>
      </w:r>
      <w:r>
        <w:rPr/>
        <w:t xml:space="preserve">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380</w:t>
      </w:r>
      <w:r>
        <w:rPr/>
        <w:t xml:space="preserve"> and 2018 c 287 s 4 are each amended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w:t>
      </w:r>
      <w:r>
        <w:t>((</w:t>
      </w:r>
      <w:r>
        <w:rPr>
          <w:strike/>
        </w:rPr>
        <w:t xml:space="preserve">six-dollar</w:t>
      </w:r>
      <w:r>
        <w:t>))</w:t>
      </w:r>
      <w:r>
        <w:rPr/>
        <w:t xml:space="preserve"> </w:t>
      </w:r>
      <w:r>
        <w:rPr>
          <w:u w:val="single"/>
        </w:rPr>
        <w:t xml:space="preserve">$6</w:t>
      </w:r>
      <w:r>
        <w:rPr/>
        <w:t xml:space="preserve"> fee in addition to any other fees and taxes required by law.</w:t>
      </w:r>
    </w:p>
    <w:p>
      <w:pPr>
        <w:spacing w:before="0" w:after="0" w:line="408" w:lineRule="exact"/>
        <w:ind w:left="0" w:right="0" w:firstLine="576"/>
        <w:jc w:val="left"/>
      </w:pPr>
      <w:r>
        <w:rPr/>
        <w:t xml:space="preserve">(2) The abandoned recreational disposal fee must be deposited into the abandoned recreational vehicle disposal </w:t>
      </w:r>
      <w:r>
        <w:rPr>
          <w:u w:val="single"/>
        </w:rPr>
        <w:t xml:space="preserve">and indigent impound</w:t>
      </w:r>
      <w:r>
        <w:rPr/>
        <w:t xml:space="preserve"> account created in RCW 46.68.175.</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w:t>
      </w:r>
      <w:r>
        <w:rPr>
          <w:u w:val="single"/>
        </w:rPr>
        <w:t xml:space="preserve">and indigent impound</w:t>
      </w:r>
      <w:r>
        <w:rPr/>
        <w:t xml:space="preserve">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w:t>
      </w:r>
      <w:r>
        <w:rPr>
          <w:u w:val="single"/>
        </w:rPr>
        <w:t xml:space="preserve">and indigent impound</w:t>
      </w:r>
      <w:r>
        <w:rPr/>
        <w:t xml:space="preserve">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
      <w:pPr>
        <w:jc w:val="center"/>
      </w:pPr>
      <w:r>
        <w:rPr>
          <w:b/>
        </w:rPr>
        <w:t>--- END ---</w:t>
      </w:r>
    </w:p>
    <w:sectPr>
      <w:pgNumType w:start="1"/>
      <w:footerReference xmlns:r="http://schemas.openxmlformats.org/officeDocument/2006/relationships" r:id="R7f4379304eae49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6a5e7d2374e26" /><Relationship Type="http://schemas.openxmlformats.org/officeDocument/2006/relationships/footer" Target="/word/footer1.xml" Id="R7f4379304eae497d" /></Relationships>
</file>