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0340735ef4f63" /></Relationships>
</file>

<file path=word/document.xml><?xml version="1.0" encoding="utf-8"?>
<w:document xmlns:w="http://schemas.openxmlformats.org/wordprocessingml/2006/main">
  <w:body>
    <w:p>
      <w:r>
        <w:t>S-1289.1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Rivers, Schoesler, Torres, L. Wilson, Gildon, J. Wilson, Short, Muzzall, McCune, Boehnke, Warnick, Braun, Holy, MacEwen, Wagoner, Dozier, and Padden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use of a stolen firearm; amending RCW 9.94A.515; adding a new section to chapter 9.41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unlawful for a person, in the commission or furtherance of a felony, to discharge a stolen firearm or to menace or threaten with a stolen firearm, another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shall be punished as a class A felony under chapter 9A.20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2022 c 231 s 13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Use of a Stolen Firearm in Commission of a Felony (section 1 of this act)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7.105.450, 10.99.040, 10.99.050, 26.09.300, 26.10.220, 26.26B.050, 26.50.110, 26.52.070, or 74.34.145)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14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 Harassment (RCW 9A.90.120(2)(b))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$5,000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$750 or more but less than $5,000)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e0efd280f3c47e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41b3450104807" /><Relationship Type="http://schemas.openxmlformats.org/officeDocument/2006/relationships/footer" Target="/word/footer1.xml" Id="R2e0efd280f3c47e9" /></Relationships>
</file>