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97192dccf47da" /></Relationships>
</file>

<file path=word/document.xml><?xml version="1.0" encoding="utf-8"?>
<w:document xmlns:w="http://schemas.openxmlformats.org/wordprocessingml/2006/main">
  <w:body>
    <w:p>
      <w:r>
        <w:t>S-2278.2</w:t>
      </w:r>
    </w:p>
    <w:p>
      <w:pPr>
        <w:jc w:val="center"/>
      </w:pPr>
      <w:r>
        <w:t>_______________________________________________</w:t>
      </w:r>
    </w:p>
    <w:p/>
    <w:p>
      <w:pPr>
        <w:jc w:val="center"/>
      </w:pPr>
      <w:r>
        <w:rPr>
          <w:b/>
        </w:rPr>
        <w:t>SENATE BILL 5761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Boehnke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to a broadband communications services provider of machinery and equipment used in a communication network; amending RCW 82.08.02565 and 82.12.02565;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 intended to induce certain designated behavior by taxpayers and reduce structural inefficiencies in the tax code, as indicated in RCW 82.32.808(2) (a) and (d).</w:t>
      </w:r>
    </w:p>
    <w:p>
      <w:pPr>
        <w:spacing w:before="0" w:after="0" w:line="408" w:lineRule="exact"/>
        <w:ind w:left="0" w:right="0" w:firstLine="576"/>
        <w:jc w:val="left"/>
      </w:pPr>
      <w:r>
        <w:rPr/>
        <w:t xml:space="preserve">(3) It is the legislature's specific public policy objective to reduce tax pyramiding during the manufacturing of broadband networks thereby enhancing industry competitiveness thereby improving structural inefficiencies in the tax structure. The legislature finds that pyramiding can cause inefficiencies by encouraging firms to move away from more heavily taxed goods, and increases the effective tax rate in a nontransparent way.</w:t>
      </w:r>
    </w:p>
    <w:p>
      <w:pPr>
        <w:spacing w:before="0" w:after="0" w:line="408" w:lineRule="exact"/>
        <w:ind w:left="0" w:right="0" w:firstLine="576"/>
        <w:jc w:val="left"/>
      </w:pPr>
      <w:r>
        <w:rPr/>
        <w:t xml:space="preserve">(4) To measure the effectiveness of the sales and use tax exemptions created in sections 2 and 3 of this act in achieving the public policy objectives described in this section, the joint legislative audit and review committee must evaluate the number of businesses that claim the exemptions in sections 2 and 3 of this act for sales to a broadband communications services provider of machinery and equipment used in a communication network.</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 and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2022 c 16 s 146 are each amended to read as follows:</w:t>
      </w:r>
    </w:p>
    <w:p>
      <w:pPr>
        <w:spacing w:before="0" w:after="0" w:line="408" w:lineRule="exact"/>
        <w:ind w:left="0" w:right="0" w:firstLine="576"/>
        <w:jc w:val="left"/>
      </w:pPr>
      <w:r>
        <w:rPr/>
        <w:t xml:space="preserve">(1)(a)</w:t>
      </w:r>
      <w:r>
        <w:rPr>
          <w:u w:val="single"/>
        </w:rPr>
        <w:t xml:space="preserve">(i)</w:t>
      </w:r>
      <w:r>
        <w:rPr/>
        <w:t xml:space="preserve">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 </w:t>
      </w:r>
    </w:p>
    <w:p>
      <w:pPr>
        <w:spacing w:before="0" w:after="0" w:line="408" w:lineRule="exact"/>
        <w:ind w:left="0" w:right="0" w:firstLine="576"/>
        <w:jc w:val="left"/>
      </w:pPr>
      <w:r>
        <w:rPr>
          <w:u w:val="single"/>
        </w:rPr>
        <w:t xml:space="preserve">(ii) Beginning January 1, 2024, and until January 1, 2035, the tax levied by RCW 82.08.020 does not apply to sales to a broadband communications services provider of machinery and equipment used in a communication network.</w:t>
      </w:r>
    </w:p>
    <w:p>
      <w:pPr>
        <w:spacing w:before="0" w:after="0" w:line="408" w:lineRule="exact"/>
        <w:ind w:left="0" w:right="0" w:firstLine="576"/>
        <w:jc w:val="left"/>
      </w:pPr>
      <w:r>
        <w:rPr>
          <w:u w:val="single"/>
        </w:rPr>
        <w:t xml:space="preserve">A broadband communications services provider may not apply the exemption under this subsection (1)(a)(ii) to more than $40,000,000 of purchases of machinery and equipment used in a communication network per calendar year.</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w:t>
      </w:r>
      <w:r>
        <w:t>((</w:t>
      </w:r>
      <w:r>
        <w:rPr>
          <w:strike/>
        </w:rPr>
        <w:t xml:space="preserve">"Machinery</w:t>
      </w:r>
      <w:r>
        <w:t>))</w:t>
      </w:r>
      <w:r>
        <w:rPr/>
        <w:t xml:space="preserve"> </w:t>
      </w:r>
      <w:r>
        <w:rPr>
          <w:u w:val="single"/>
        </w:rPr>
        <w:t xml:space="preserve">Except as provided in (n) of this subsection, "machinery</w:t>
      </w:r>
      <w:r>
        <w:rPr/>
        <w:t xml:space="preserve">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u w:val="single"/>
        </w:rPr>
        <w:t xml:space="preserve">(k) "Broadband communications service" means internet access service, telecommunications service, video programming service, or any combination thereof.</w:t>
      </w:r>
    </w:p>
    <w:p>
      <w:pPr>
        <w:spacing w:before="0" w:after="0" w:line="408" w:lineRule="exact"/>
        <w:ind w:left="0" w:right="0" w:firstLine="576"/>
        <w:jc w:val="left"/>
      </w:pPr>
      <w:r>
        <w:rPr>
          <w:u w:val="single"/>
        </w:rPr>
        <w:t xml:space="preserve">(l) "Broadband communications services provider" means a person who is engaged in the provision of broadband communications service or an affiliate of such person.</w:t>
      </w:r>
    </w:p>
    <w:p>
      <w:pPr>
        <w:spacing w:before="0" w:after="0" w:line="408" w:lineRule="exact"/>
        <w:ind w:left="0" w:right="0" w:firstLine="576"/>
        <w:jc w:val="left"/>
      </w:pPr>
      <w:r>
        <w:rPr>
          <w:u w:val="single"/>
        </w:rPr>
        <w:t xml:space="preserve">(m) "Internet access service" has the same meaning as in the internet tax freedom act, 47 U.S.C. Sec. 151.</w:t>
      </w:r>
    </w:p>
    <w:p>
      <w:pPr>
        <w:spacing w:before="0" w:after="0" w:line="408" w:lineRule="exact"/>
        <w:ind w:left="0" w:right="0" w:firstLine="576"/>
        <w:jc w:val="left"/>
      </w:pPr>
      <w:r>
        <w:rPr>
          <w:u w:val="single"/>
        </w:rPr>
        <w:t xml:space="preserve">(n) "Machinery and equipment used in a communication network" means tangible personal property used, in whole or in part, by a broadband communications services provider or its affiliate to furnish broadband communications services in this state, including tangible personal property used by a provider to transmit, convey, amplify, or route information such as images, text, voice, video programming, other video content, or data. The term includes, but is not limited to, cable modem termination system components and wifi equipment, headend and hub equipment, monitoring equipment, fiber optic cable, coaxial cable, conduit, distribution plant, customer connection equipment, telecommunications radio, routing and switching equipment, software, equipment enclosures above and below ground, towers, poles, mounts, electricity, transmitters, power equipment, diagnostic equipment, storage devices, servers, multiplexers, amplifiers, antennas, and related property and equipment and includes charges to apply, install, maintain, operate, or repair such tangible personal property.</w:t>
      </w:r>
    </w:p>
    <w:p>
      <w:pPr>
        <w:spacing w:before="0" w:after="0" w:line="408" w:lineRule="exact"/>
        <w:ind w:left="0" w:right="0" w:firstLine="576"/>
        <w:jc w:val="left"/>
      </w:pPr>
      <w:r>
        <w:rPr>
          <w:u w:val="single"/>
        </w:rPr>
        <w:t xml:space="preserve">(o) "Telecommunications service" means the electronic transmission, conveyance, or routing of voice, data, audio, video, or any other information or signals to a point, or between or among points. The term includes the transmission, conveyance, or routing in which computer processing applications are used to act on the form, code, or protocol of the content for purposes of transmission, conveyance, or routing without regard to whether the service is referred to as voice over internet protocol services or is classified by the federal communications commission as enhanced or value added.</w:t>
      </w:r>
    </w:p>
    <w:p>
      <w:pPr>
        <w:spacing w:before="0" w:after="0" w:line="408" w:lineRule="exact"/>
        <w:ind w:left="0" w:right="0" w:firstLine="576"/>
        <w:jc w:val="left"/>
      </w:pPr>
      <w:r>
        <w:rPr>
          <w:u w:val="single"/>
        </w:rPr>
        <w:t xml:space="preserve">(p) "Video programming service" means the sale, offering, transmission, conveyance, or routing of video programming or other video content for purchase by subscribers or customers, regardless of the medium, technology, or method of display and regardless of the payment schedule or storage method used to purchase or access such video programming or video content. The term includes, but is not limited to, cable service as defined in 47 U.S.C. Sec. 522(6) and video programming services delivered by commercial mobile radio service providers as defined in 47 C.F.R. Sec. 20.3 and any substantially equivalent successor technology.</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cannabis, useable cannabis, or cannabis-infused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2022 c 16 s 156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 </w:t>
      </w:r>
      <w:r>
        <w:rPr>
          <w:u w:val="single"/>
        </w:rPr>
        <w:t xml:space="preserve">Beginning January 1, 2024, and until January 1, 2035, this chapter does not apply to use by a broadband communications services provider of machinery and equipment used in a communication network.</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cannabis, useable cannabis, or cannabis-infused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
      <w:pPr>
        <w:jc w:val="center"/>
      </w:pPr>
      <w:r>
        <w:rPr>
          <w:b/>
        </w:rPr>
        <w:t>--- END ---</w:t>
      </w:r>
    </w:p>
    <w:sectPr>
      <w:pgNumType w:start="1"/>
      <w:footerReference xmlns:r="http://schemas.openxmlformats.org/officeDocument/2006/relationships" r:id="Rb57a5ac9558e41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b99d924964a3c" /><Relationship Type="http://schemas.openxmlformats.org/officeDocument/2006/relationships/footer" Target="/word/footer1.xml" Id="Rb57a5ac9558e41fa" /></Relationships>
</file>