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72a4603e24051" /></Relationships>
</file>

<file path=word/document.xml><?xml version="1.0" encoding="utf-8"?>
<w:document xmlns:w="http://schemas.openxmlformats.org/wordprocessingml/2006/main">
  <w:body>
    <w:p>
      <w:r>
        <w:t>S-2767.5</w:t>
      </w:r>
    </w:p>
    <w:p>
      <w:pPr>
        <w:jc w:val="center"/>
      </w:pPr>
      <w:r>
        <w:t>_______________________________________________</w:t>
      </w:r>
    </w:p>
    <w:p/>
    <w:p>
      <w:pPr>
        <w:jc w:val="center"/>
      </w:pPr>
      <w:r>
        <w:rPr>
          <w:b/>
        </w:rPr>
        <w:t>SENATE BILL 5766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and Nguyen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administrability of emissions exemptions and business practices under the climate commitment act; amending RCW 70A.65.080 and 70A.65.100; adding new sections to chapter 70A.65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By January 1, 2024, the department must establish a remittance program for entities consuming fuels whose emissions are exempted from coverage in the program under RCW 70A.65.080(7)(e). The remittance program must include a climate commitment act remittance portal that allows farm fuel users and freight haulers of agricultural products to electronically submit, on a quarterly basis, an application for remittance and supporting documentation.</w:t>
      </w:r>
    </w:p>
    <w:p>
      <w:pPr>
        <w:spacing w:before="0" w:after="0" w:line="408" w:lineRule="exact"/>
        <w:ind w:left="0" w:right="0" w:firstLine="576"/>
        <w:jc w:val="left"/>
      </w:pPr>
      <w:r>
        <w:rPr/>
        <w:t xml:space="preserve">(b) Supporting documentation for farm fuel users must include receipts showing fuel purchases for fuel used exclusively for agricultural purposes and the farm fuel user's department of revenue farmer's certificate for wholesale purchases and sales tax exemptions.</w:t>
      </w:r>
    </w:p>
    <w:p>
      <w:pPr>
        <w:spacing w:before="0" w:after="0" w:line="408" w:lineRule="exact"/>
        <w:ind w:left="0" w:right="0" w:firstLine="576"/>
        <w:jc w:val="left"/>
      </w:pPr>
      <w:r>
        <w:rPr/>
        <w:t xml:space="preserve">(c) Supporting documentation for entities transporting agricultural products on public highways must include fuel tax reports submitted to the department of licensing and documentation indicating the approximate time, date, and location of each agricultural product haul and a general description of the agricultural products transported.</w:t>
      </w:r>
    </w:p>
    <w:p>
      <w:pPr>
        <w:spacing w:before="0" w:after="0" w:line="408" w:lineRule="exact"/>
        <w:ind w:left="0" w:right="0" w:firstLine="576"/>
        <w:jc w:val="left"/>
      </w:pPr>
      <w:r>
        <w:rPr/>
        <w:t xml:space="preserve">(2) An approved application for remittance under subsection (1) of this section is eligible for a remittance equal to the auction settlement price in effect for the calendar quarter in which the fuel was purchased multiplied by eight-tenths of one percent and the number of gallons in the remittance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w:t>
      </w:r>
      <w:r>
        <w:t>((</w:t>
      </w:r>
      <w:r>
        <w:rPr>
          <w:strike/>
        </w:rPr>
        <w:t xml:space="preserve">This exemption is available only if a buyer of motor vehicle fuel or special fuel provides the seller with an exemption certificate in a form and manner prescribed by the department.</w:t>
      </w:r>
      <w:r>
        <w:t>))</w:t>
      </w:r>
      <w:r>
        <w:rPr/>
        <w:t xml:space="preserve">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r>
        <w:rPr>
          <w:u w:val="single"/>
        </w:rPr>
        <w:t xml:space="preserve">.</w:t>
      </w:r>
    </w:p>
    <w:p>
      <w:pPr>
        <w:spacing w:before="0" w:after="0" w:line="408" w:lineRule="exact"/>
        <w:ind w:left="0" w:right="0" w:firstLine="576"/>
        <w:jc w:val="left"/>
      </w:pPr>
      <w:r>
        <w:rPr>
          <w:u w:val="single"/>
        </w:rPr>
        <w:t xml:space="preserve">(iii) The exemptions under this subsection (7)(e) must be administered through the remittance program established in section 1 of this act</w:t>
      </w:r>
      <w:r>
        <w:rPr/>
        <w:t xml:space="preserve">;</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business may not include a separate charge or costs on any invoice or other billing statement indicating that the charge or cost, or any portion thereof, is imposed or collected in relation to this chapter.</w:t>
      </w:r>
    </w:p>
    <w:p>
      <w:pPr>
        <w:spacing w:before="0" w:after="0" w:line="408" w:lineRule="exact"/>
        <w:ind w:left="0" w:right="0" w:firstLine="576"/>
        <w:jc w:val="left"/>
      </w:pPr>
      <w:r>
        <w:rPr/>
        <w:t xml:space="preserve">(2) The legislature finds that the acts or practices covered by this section are matters vitally affecting the public interest for the purposes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convene a work group to review rules and processes that are developed to exempt the emissions in RCW 70A.65.080 from coverage under chapter 70A.65 RCW and to develop recommendations for changes to laws, rules, policies, and practices to ensure the full use and benefit of the exemptions.</w:t>
      </w:r>
    </w:p>
    <w:p>
      <w:pPr>
        <w:spacing w:before="0" w:after="0" w:line="408" w:lineRule="exact"/>
        <w:ind w:left="0" w:right="0" w:firstLine="576"/>
        <w:jc w:val="left"/>
      </w:pPr>
      <w:r>
        <w:rPr/>
        <w:t xml:space="preserve">(2) The work group must be comprised of the following members:</w:t>
      </w:r>
    </w:p>
    <w:p>
      <w:pPr>
        <w:spacing w:before="0" w:after="0" w:line="408" w:lineRule="exact"/>
        <w:ind w:left="0" w:right="0" w:firstLine="576"/>
        <w:jc w:val="left"/>
      </w:pPr>
      <w:r>
        <w:rPr/>
        <w:t xml:space="preserve">(a) A representative from the department of revenue;</w:t>
      </w:r>
    </w:p>
    <w:p>
      <w:pPr>
        <w:spacing w:before="0" w:after="0" w:line="408" w:lineRule="exact"/>
        <w:ind w:left="0" w:right="0" w:firstLine="576"/>
        <w:jc w:val="left"/>
      </w:pPr>
      <w:r>
        <w:rPr/>
        <w:t xml:space="preserve">(b) A representative from the department of licensing;</w:t>
      </w:r>
    </w:p>
    <w:p>
      <w:pPr>
        <w:spacing w:before="0" w:after="0" w:line="408" w:lineRule="exact"/>
        <w:ind w:left="0" w:right="0" w:firstLine="576"/>
        <w:jc w:val="left"/>
      </w:pPr>
      <w:r>
        <w:rPr/>
        <w:t xml:space="preserve">(c) A representative from the department of transportation;</w:t>
      </w:r>
    </w:p>
    <w:p>
      <w:pPr>
        <w:spacing w:before="0" w:after="0" w:line="408" w:lineRule="exact"/>
        <w:ind w:left="0" w:right="0" w:firstLine="576"/>
        <w:jc w:val="left"/>
      </w:pPr>
      <w:r>
        <w:rPr/>
        <w:t xml:space="preserve">(d) Representatives from statewide organizations advocating for the aviation industry and aviation enthusiasts;</w:t>
      </w:r>
    </w:p>
    <w:p>
      <w:pPr>
        <w:spacing w:before="0" w:after="0" w:line="408" w:lineRule="exact"/>
        <w:ind w:left="0" w:right="0" w:firstLine="576"/>
        <w:jc w:val="left"/>
      </w:pPr>
      <w:r>
        <w:rPr/>
        <w:t xml:space="preserve">(e) Representatives from statewide organizations advocating for the watercraft industry and watercraft users;</w:t>
      </w:r>
    </w:p>
    <w:p>
      <w:pPr>
        <w:spacing w:before="0" w:after="0" w:line="408" w:lineRule="exact"/>
        <w:ind w:left="0" w:right="0" w:firstLine="576"/>
        <w:jc w:val="left"/>
      </w:pPr>
      <w:r>
        <w:rPr/>
        <w:t xml:space="preserve">(f) Representatives from statewide organizations advocating for the agricultural industry and farmers;</w:t>
      </w:r>
    </w:p>
    <w:p>
      <w:pPr>
        <w:spacing w:before="0" w:after="0" w:line="408" w:lineRule="exact"/>
        <w:ind w:left="0" w:right="0" w:firstLine="576"/>
        <w:jc w:val="left"/>
      </w:pPr>
      <w:r>
        <w:rPr/>
        <w:t xml:space="preserve">(g) Representatives from statewide organizations advocating for the fuel refineries, manufacturers, distributors, and retailers; and</w:t>
      </w:r>
    </w:p>
    <w:p>
      <w:pPr>
        <w:spacing w:before="0" w:after="0" w:line="408" w:lineRule="exact"/>
        <w:ind w:left="0" w:right="0" w:firstLine="576"/>
        <w:jc w:val="left"/>
      </w:pPr>
      <w:r>
        <w:rPr/>
        <w:t xml:space="preserve">(h) Representatives from statewide organizations that advocate for the other products and activities that fall within the exemption provided in RCW 70A.65.080.</w:t>
      </w:r>
    </w:p>
    <w:p>
      <w:pPr>
        <w:spacing w:before="0" w:after="0" w:line="408" w:lineRule="exact"/>
        <w:ind w:left="0" w:right="0" w:firstLine="576"/>
        <w:jc w:val="left"/>
      </w:pPr>
      <w:r>
        <w:rPr/>
        <w:t xml:space="preserve">(3) The work group shall review and make recommendations on the following topics:</w:t>
      </w:r>
    </w:p>
    <w:p>
      <w:pPr>
        <w:spacing w:before="0" w:after="0" w:line="408" w:lineRule="exact"/>
        <w:ind w:left="0" w:right="0" w:firstLine="576"/>
        <w:jc w:val="left"/>
      </w:pPr>
      <w:r>
        <w:rPr/>
        <w:t xml:space="preserve">(a) Whether exemption processes have been responsive to how markets have reacted to the greenhouse gas emissions cap and invest program;</w:t>
      </w:r>
    </w:p>
    <w:p>
      <w:pPr>
        <w:spacing w:before="0" w:after="0" w:line="408" w:lineRule="exact"/>
        <w:ind w:left="0" w:right="0" w:firstLine="576"/>
        <w:jc w:val="left"/>
      </w:pPr>
      <w:r>
        <w:rPr/>
        <w:t xml:space="preserve">(b) Whether exemption processes can be improved or alternatives developed to reduce the burdens on those seeking an exemption;</w:t>
      </w:r>
    </w:p>
    <w:p>
      <w:pPr>
        <w:spacing w:before="0" w:after="0" w:line="408" w:lineRule="exact"/>
        <w:ind w:left="0" w:right="0" w:firstLine="576"/>
        <w:jc w:val="left"/>
      </w:pPr>
      <w:r>
        <w:rPr/>
        <w:t xml:space="preserve">(c) The adequacy of current guidance and tools to report exemptions;</w:t>
      </w:r>
    </w:p>
    <w:p>
      <w:pPr>
        <w:spacing w:before="0" w:after="0" w:line="408" w:lineRule="exact"/>
        <w:ind w:left="0" w:right="0" w:firstLine="576"/>
        <w:jc w:val="left"/>
      </w:pPr>
      <w:r>
        <w:rPr/>
        <w:t xml:space="preserve">(d) Whether changes are necessary related to the remittance program created in section 1 of this act; and</w:t>
      </w:r>
    </w:p>
    <w:p>
      <w:pPr>
        <w:spacing w:before="0" w:after="0" w:line="408" w:lineRule="exact"/>
        <w:ind w:left="0" w:right="0" w:firstLine="576"/>
        <w:jc w:val="left"/>
      </w:pPr>
      <w:r>
        <w:rPr/>
        <w:t xml:space="preserve">(e) Other issues and topics the work group determines are necessary to review the full use and enjoyment of the exemptions provided in RCW 70A.65.080.</w:t>
      </w:r>
    </w:p>
    <w:p>
      <w:pPr>
        <w:spacing w:before="0" w:after="0" w:line="408" w:lineRule="exact"/>
        <w:ind w:left="0" w:right="0" w:firstLine="576"/>
        <w:jc w:val="left"/>
      </w:pPr>
      <w:r>
        <w:rPr/>
        <w:t xml:space="preserve">(4) Any statewide organizations advocating for an industry or activity described in RCW 70A.65.080 may submit in writing its recommendations to the work group for its review and consideration.</w:t>
      </w:r>
    </w:p>
    <w:p>
      <w:pPr>
        <w:spacing w:before="0" w:after="0" w:line="408" w:lineRule="exact"/>
        <w:ind w:left="0" w:right="0" w:firstLine="576"/>
        <w:jc w:val="left"/>
      </w:pPr>
      <w:r>
        <w:rPr/>
        <w:t xml:space="preserve">(5) Committee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(6) The department of ecology must submit a report containing its review and recommendations to the appropriate committees of the legislature by November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w:t>
      </w:r>
      <w:r>
        <w:t>((</w:t>
      </w:r>
      <w:r>
        <w:rPr>
          <w:strike/>
        </w:rPr>
        <w:t xml:space="preserve">and</w:t>
      </w:r>
      <w:r>
        <w:t>))</w:t>
      </w:r>
      <w:r>
        <w:rPr/>
        <w:t xml:space="preserve"> (ii) </w:t>
      </w:r>
      <w:r>
        <w:rPr>
          <w:u w:val="single"/>
        </w:rPr>
        <w:t xml:space="preserve">$50,000,000 must then be deposited into the climate commitment act remittance account created in section 6 of this act; and (iii)</w:t>
      </w:r>
      <w:r>
        <w:rPr/>
        <w:t xml:space="preserve">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w:t>
      </w:r>
      <w:r>
        <w:t>((</w:t>
      </w:r>
      <w:r>
        <w:rPr>
          <w:strike/>
        </w:rPr>
        <w:t xml:space="preserve">and</w:t>
      </w:r>
      <w:r>
        <w:t>))</w:t>
      </w:r>
      <w:r>
        <w:rPr/>
        <w:t xml:space="preserve"> (ii) </w:t>
      </w:r>
      <w:r>
        <w:rPr>
          <w:u w:val="single"/>
        </w:rPr>
        <w:t xml:space="preserve">the amount appropriated in the omnibus operating appropriations act to the climate commitment act remittance account created in section 6 of this act must then be deposited into the account; and (iii)</w:t>
      </w:r>
      <w:r>
        <w:rPr/>
        <w:t xml:space="preserve">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w:t>
      </w:r>
      <w:r>
        <w:t>((</w:t>
      </w:r>
      <w:r>
        <w:rPr>
          <w:strike/>
        </w:rPr>
        <w:t xml:space="preserve">and</w:t>
      </w:r>
      <w:r>
        <w:t>))</w:t>
      </w:r>
      <w:r>
        <w:rPr/>
        <w:t xml:space="preserve"> (ii) </w:t>
      </w:r>
      <w:r>
        <w:rPr>
          <w:u w:val="single"/>
        </w:rPr>
        <w:t xml:space="preserve">the amount appropriated in the omnibus operating appropriations act to the climate commitment act remittance account created in section 6 of this act must then be deposited into the account; and (iii)</w:t>
      </w:r>
      <w:r>
        <w:rPr/>
        <w:t xml:space="preserve">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w:t>
      </w:r>
      <w:r>
        <w:t>((</w:t>
      </w:r>
      <w:r>
        <w:rPr>
          <w:strike/>
        </w:rPr>
        <w:t xml:space="preserve">and</w:t>
      </w:r>
      <w:r>
        <w:t>))</w:t>
      </w:r>
      <w:r>
        <w:rPr/>
        <w:t xml:space="preserve"> (ii) </w:t>
      </w:r>
      <w:r>
        <w:rPr>
          <w:u w:val="single"/>
        </w:rPr>
        <w:t xml:space="preserve">the amount appropriated in the omnibus operating appropriations act to the climate commitment act remittance account created in section 6 of this act must then be deposited into the account; and (iii)</w:t>
      </w:r>
      <w:r>
        <w:rPr/>
        <w:t xml:space="preserve">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climate commitment act remittance account is created in the state treasury. The account may receive deposits from auction proceeds pursuant to section 5 of this act. Moneys in the account may be spent only after appropriation. Expenditures from the account may only be used for the purpose of the remittance program established in section 1 of this act for entities consuming fuels whose emissions are exempted from coverage in the program under RCW 70A.65.080(7)(e). The department may not expend more than 10 percent per year on administrative costs associated with the remittance program.</w:t>
      </w:r>
    </w:p>
    <w:p/>
    <w:p>
      <w:pPr>
        <w:jc w:val="center"/>
      </w:pPr>
      <w:r>
        <w:rPr>
          <w:b/>
        </w:rPr>
        <w:t>--- END ---</w:t>
      </w:r>
    </w:p>
    <w:sectPr>
      <w:pgNumType w:start="1"/>
      <w:footerReference xmlns:r="http://schemas.openxmlformats.org/officeDocument/2006/relationships" r:id="Rda4b849b61a642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2bb168b6e4d55" /><Relationship Type="http://schemas.openxmlformats.org/officeDocument/2006/relationships/footer" Target="/word/footer1.xml" Id="Rda4b849b61a64254" /></Relationships>
</file>