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e0928354242cd" /></Relationships>
</file>

<file path=word/document.xml><?xml version="1.0" encoding="utf-8"?>
<w:document xmlns:w="http://schemas.openxmlformats.org/wordprocessingml/2006/main">
  <w:body>
    <w:p>
      <w:r>
        <w:t>S-3479.1</w:t>
      </w:r>
    </w:p>
    <w:p>
      <w:pPr>
        <w:jc w:val="center"/>
      </w:pPr>
      <w:r>
        <w:t>_______________________________________________</w:t>
      </w:r>
    </w:p>
    <w:p/>
    <w:p>
      <w:pPr>
        <w:jc w:val="center"/>
      </w:pPr>
      <w:r>
        <w:rPr>
          <w:b/>
        </w:rPr>
        <w:t>SENATE BILL 5775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Cleveland, Randall, Van De Wege, Conway, Dhingra, Kauffman, Hasegawa, Kuderer, Mullet, Nguyen, Nobles, Salomon, Stanford, and Wellman</w:t>
      </w:r>
    </w:p>
    <w:p/>
    <w:p>
      <w:r>
        <w:rPr>
          <w:t xml:space="preserve">Prefiled 12/04/23.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requirements for prescription epinephrine autoinjectors; reenacting and amending RCW 41.05.017;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2025, that provides coverage for prescription epinephrine autoinjectors must cap the total amount that an enrollee is required to pay for all covered prescription epinephrine autoinjectors at an amount not to exceed $60 for a two-pack of epinephrine autoinjectors, regardless of the amount or type of epinephrine needed to fill the covered person's prescription. Prescription epinephrine autoinjectors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For a health plan that provides coverage for prescription epinephrine autoinjectors and is offered as a qualifying health plan for a health savings account, the health carrier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1 of this act,</w:t>
      </w:r>
      <w:r>
        <w:rPr/>
        <w:t xml:space="preserve"> and chapter 48.49 RCW.</w:t>
      </w:r>
    </w:p>
    <w:p/>
    <w:p>
      <w:pPr>
        <w:jc w:val="center"/>
      </w:pPr>
      <w:r>
        <w:rPr>
          <w:b/>
        </w:rPr>
        <w:t>--- END ---</w:t>
      </w:r>
    </w:p>
    <w:sectPr>
      <w:pgNumType w:start="1"/>
      <w:footerReference xmlns:r="http://schemas.openxmlformats.org/officeDocument/2006/relationships" r:id="R3bc7c53e538d4c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a442a916c64cc7" /><Relationship Type="http://schemas.openxmlformats.org/officeDocument/2006/relationships/footer" Target="/word/footer1.xml" Id="R3bc7c53e538d4ccf" /></Relationships>
</file>