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61dd4256d4d6e" /></Relationships>
</file>

<file path=word/document.xml><?xml version="1.0" encoding="utf-8"?>
<w:document xmlns:w="http://schemas.openxmlformats.org/wordprocessingml/2006/main">
  <w:body>
    <w:p>
      <w:r>
        <w:t>S-4387.1</w:t>
      </w:r>
    </w:p>
    <w:p>
      <w:pPr>
        <w:jc w:val="center"/>
      </w:pPr>
      <w:r>
        <w:t>_______________________________________________</w:t>
      </w:r>
    </w:p>
    <w:p/>
    <w:p>
      <w:pPr>
        <w:jc w:val="center"/>
      </w:pPr>
      <w:r>
        <w:rPr>
          <w:b/>
        </w:rPr>
        <w:t>SUBSTITUTE SENATE BILL 5796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Rivers, Kuderer, Nobles, and Shewmake; by request of Uniform Law Commission)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interest communities; amending RCW 64.90.085, 64.90.105, 64.90.300, 64.90.310, 64.90.450, 64.90.480, 64.90.520, 64.90.010, 64.90.065, 64.90.100, 64.90.225, 64.90.240, 64.90.260, 64.90.270, 64.90.285, 64.90.290, 64.90.405, 64.90.410, 64.90.420, 64.90.425, 64.90.445, 64.90.455, 64.90.485, 64.90.485, 64.90.495, 64.90.510, 64.90.515, 64.90.570, 64.90.605, 64.90.610, 64.90.635, 64.90.640, 7.60.110, 18.85.151, 36.70A.699, 43.185B.020, 46.61.419, 58.17.040, 59.18.200, 59.18.650, 61.24.030, 61.24.031, 61.24.040, 61.24.165, 61.24.190, 64.35.105, 64.35.405, 64.35.505, 64.35.610, 64.50.010, 64.50.040, 64.50.050, 64.55.005, 64.55.010, 64.55.070, 64.55.090, 64.55.120, 64.55.130, 64.60.010, 64.70.020, 82.02.020, 82.04.4298, 64.32.260, 64.34.076, 64.38.095, 64.90.075, 64.90.080, and 64.90.095; reenacting and amending RCW 7.60.025 and 64.06.005; adding new sections to chapter 64.90 RCW; recodifying RCW 64.90.075, 64.90.080, and 64.90.095; repealing RCW 64.32.010, 64.32.020, 64.32.030, 64.32.040, 64.32.050, 64.32.060, 64.32.070, 64.32.080, 64.32.090, 64.32.100, 64.32.110, 64.32.120, 64.32.130, 64.32.140, 64.32.150, 64.32.160, 64.32.170, 64.32.180, 64.32.190, 64.32.200, 64.32.210, 64.32.220, 64.32.230, 64.32.240, 64.32.250, 64.32.260, 64.32.270, 64.32.280, 64.32.290, 64.32.300, 64.32.310, 64.32.320, 64.32.330, 64.32.900, 64.32.910, 64.32.920, 64.34.005, 64.34.010, 64.34.020, 64.34.030, 64.34.040, 64.34.050, 64.34.060, 64.34.070, 64.34.073, 64.34.076, 64.34.080, 64.34.090, 64.34.100, 64.34.110, 64.34.120, 64.34.200, 64.34.202, 64.34.204, 64.34.208, 64.34.212, 64.34.216, 64.34.220, 64.34.224, 64.34.228, 64.34.232, 64.34.236, 64.34.240, 64.34.244, 64.34.248, 64.34.252, 64.34.256, 64.34.260, 64.34.264, 64.34.268, 64.34.272, 64.34.276, 64.34.278, 64.34.280, 64.34.300, 64.34.304, 64.34.308, 64.34.312, 64.34.316, 64.34.320, 64.34.324, 64.34.328, 64.34.332, 64.34.336, 64.34.340, 64.34.344, 64.34.348, 64.34.352, 64.34.354, 64.34.356, 64.34.360, 64.34.364, 64.34.368, 64.34.372, 64.34.376, 64.34.380, 64.34.382, 64.34.384, 64.34.386, 64.34.388, 64.34.390, 64.34.392, 64.34.394, 64.34.395, 64.34.396, 64.34.397, 64.34.398, 64.34.400, 64.34.405, 64.34.410, 64.34.415, 64.34.417, 64.34.418, 64.34.420, 64.34.425, 64.34.430, 64.34.435, 64.34.440, 64.34.442, 64.34.443, 64.34.445, 64.34.450, 64.34.452, 64.34.455, 64.34.460, 64.34.465, 64.34.470, 64.34.900, 64.34.910, 64.34.930, 64.34.931, 64.34.940, 64.34.950, 64.38.005, 64.38.010, 64.38.015, 64.38.020, 64.38.025, 64.38.028, 64.38.030, 64.38.033, 64.38.034, 64.38.035, 64.38.040, 64.38.045, 64.38.050, 64.38.055, 64.38.057, 64.38.060, 64.38.062, 64.38.065, 64.38.070, 64.38.075, 64.38.080, 64.38.085, 64.38.090, 64.38.095, 64.38.100, 64.38.110, 64.38.120, 64.38.130, 64.38.140, 64.38.150, 64.38.160, 58.19.010, 58.19.020, 58.19.030, 58.19.045, 58.19.055, 58.19.120, 58.19.130, 58.19.140, 58.19.180, 58.19.185, 58.19.190, 58.19.265, 58.19.270, 58.19.280, 58.19.300, 58.19.920, 58.19.940, 64.04.055, and 64.90.090;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a common expense, including expense relating to damage to or loss of property, caused by:</w:t>
      </w:r>
    </w:p>
    <w:p>
      <w:pPr>
        <w:spacing w:before="0" w:after="0" w:line="408" w:lineRule="exact"/>
        <w:ind w:left="0" w:right="0" w:firstLine="576"/>
        <w:jc w:val="left"/>
      </w:pPr>
      <w:r>
        <w:rPr>
          <w:u w:val="single"/>
        </w:rPr>
        <w:t xml:space="preserve">(a) Willful misconduct or gross negligence of the unit owner or the unit owner's tenant, guest, invitee, or occupant;</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 or</w:t>
      </w:r>
    </w:p>
    <w:p>
      <w:pPr>
        <w:spacing w:before="0" w:after="0" w:line="408" w:lineRule="exact"/>
        <w:ind w:left="0" w:right="0" w:firstLine="576"/>
        <w:jc w:val="left"/>
      </w:pPr>
      <w:r>
        <w:rPr>
          <w:u w:val="single"/>
        </w:rPr>
        <w:t xml:space="preserve">(c) Negligence of the unit owner or the unit owner's tenant, guest, invitee, or occupant, if the declaration contains a statement that an owner may be liable for damage or loss caused by such negligence.</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may be imposed even if the association maintains insurance with respect to that damage or common expense. The assessment is limited to the expense the association incurred under subsection (6) of this section; except that an assessment under subsection (6)(c) of this section is limited to the expense incurred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w:t>
      </w:r>
      <w:r>
        <w:t>((</w:t>
      </w:r>
      <w:r>
        <w:rPr>
          <w:strike/>
        </w:rPr>
        <w:t xml:space="preserve">of the same form of ownership</w:t>
      </w:r>
      <w:r>
        <w:t>))</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 </w:t>
      </w:r>
      <w:r>
        <w:rPr>
          <w:u w:val="single"/>
        </w:rPr>
        <w:t xml:space="preserve">If approved, the unit owners must provide the proposed amendment to the association for review and approval before execution. The association may require revisions to ensure correctness, clarity, and compliance with this chapter or the declaration. Unless otherwise agreed by the unit owners and association, all costs of preparing, revising, executing, and recording the amendment shall be borne by the affected unit owners.</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whether or not a quorum is present,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whether or not a quorum is present,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270</w:t>
      </w:r>
      <w:r>
        <w:rPr/>
        <w:t xml:space="preserve"> and 2018 c 277 s 215 are each amended to read as follows:</w:t>
      </w:r>
    </w:p>
    <w:p>
      <w:pPr>
        <w:spacing w:before="0" w:after="0" w:line="408" w:lineRule="exact"/>
        <w:ind w:left="0" w:right="0" w:firstLine="576"/>
        <w:jc w:val="left"/>
      </w:pPr>
      <w:r>
        <w:t>((</w:t>
      </w:r>
      <w:r>
        <w:rPr>
          <w:strike/>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strike/>
        </w:rPr>
        <w:t xml:space="preserve">(2) This section does not relieve a unit owner from liability in case of the unit owner's willful misconduct or relieve a declarant or any other person from liability for failure to adhere to the map.</w:t>
      </w:r>
      <w:r>
        <w:t>))</w:t>
      </w:r>
      <w:r>
        <w:rPr/>
        <w:t xml:space="preserve"> </w:t>
      </w:r>
      <w:r>
        <w:rPr>
          <w:u w:val="single"/>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u w:val="single"/>
        </w:rPr>
        <w:t xml:space="preserve">(2) Subsection (1) of this section does not apply if the encroachment:</w:t>
      </w:r>
    </w:p>
    <w:p>
      <w:pPr>
        <w:spacing w:before="0" w:after="0" w:line="408" w:lineRule="exact"/>
        <w:ind w:left="0" w:right="0" w:firstLine="576"/>
        <w:jc w:val="left"/>
      </w:pPr>
      <w:r>
        <w:rPr>
          <w:u w:val="single"/>
        </w:rPr>
        <w:t xml:space="preserve">(a) Extends beyond five feet, as measured from any point on the common boundary along a line perpendicular to the boundary; or</w:t>
      </w:r>
    </w:p>
    <w:p>
      <w:pPr>
        <w:spacing w:before="0" w:after="0" w:line="408" w:lineRule="exact"/>
        <w:ind w:left="0" w:right="0" w:firstLine="576"/>
        <w:jc w:val="left"/>
      </w:pPr>
      <w:r>
        <w:rPr>
          <w:u w:val="single"/>
        </w:rPr>
        <w:t xml:space="preserve">(b) Results from willful misconduct of the unit owner that claims a benefit under subsection (1) of this section.</w:t>
      </w:r>
    </w:p>
    <w:p>
      <w:pPr>
        <w:spacing w:before="0" w:after="0" w:line="408" w:lineRule="exact"/>
        <w:ind w:left="0" w:right="0" w:firstLine="576"/>
        <w:jc w:val="left"/>
      </w:pPr>
      <w:r>
        <w:rPr>
          <w:u w:val="single"/>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 and, if necessary, an amendment to the map or an amended and restated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confirmation of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and except as provided in subsection (9) of this section, unit owners or their proxy holders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w:t>
      </w:r>
      <w:r>
        <w:t>((</w:t>
      </w:r>
      <w:r>
        <w:rPr>
          <w:strike/>
        </w:rPr>
        <w:t xml:space="preserve">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strike/>
        </w:rPr>
        <w:t xml:space="preserve">(d)</w:t>
      </w:r>
      <w:r>
        <w:t>))</w:t>
      </w:r>
      <w:r>
        <w:rPr/>
        <w:t xml:space="preserve">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ballot in a tangible medium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ballot in a tangible medium and electronic ballot is cast by the unit owner having a right to do so.</w:t>
      </w:r>
    </w:p>
    <w:p>
      <w:pPr>
        <w:spacing w:before="0" w:after="0" w:line="408" w:lineRule="exact"/>
        <w:ind w:left="0" w:right="0" w:firstLine="576"/>
        <w:jc w:val="left"/>
      </w:pPr>
      <w:r>
        <w:rPr>
          <w:u w:val="single"/>
        </w:rPr>
        <w:t xml:space="preserve">(l) A unit owner consents to electronic voting by delivering to the association a record indicating such consent or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0" w:after="0" w:line="408" w:lineRule="exact"/>
        <w:ind w:left="0" w:right="0" w:firstLine="576"/>
        <w:jc w:val="left"/>
      </w:pPr>
      <w:r>
        <w:rPr>
          <w:u w:val="single"/>
        </w:rPr>
        <w:t xml:space="preserve">(9) Notwithstanding any other law or provision of the governing documents, the following votes of unit owners shall be conducted by secret ballot: (a) Election of board members; (b) removal of board members or officers; (c) amendments to the declaration or governing documents; or (d) unit owner approval of an amendment to the declaration for the reallocation of a common element as a limited common element for the exclusive use of an owner's unit pursuant to RCW 64.90.240.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or at a mutually convenient time and location; and</w:t>
      </w:r>
    </w:p>
    <w:p>
      <w:pPr>
        <w:spacing w:before="0" w:after="0" w:line="408" w:lineRule="exact"/>
        <w:ind w:left="0" w:right="0" w:firstLine="576"/>
        <w:jc w:val="left"/>
      </w:pPr>
      <w:r>
        <w:rPr/>
        <w:t xml:space="preserve">(ii) At the offices of the association or its managing agent.</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w:t>
      </w:r>
      <w:r>
        <w:t>((</w:t>
      </w:r>
      <w:r>
        <w:rPr>
          <w:strike/>
        </w:rPr>
        <w:t xml:space="preserve">or</w:t>
      </w:r>
      <w:r>
        <w:t>))</w:t>
      </w:r>
    </w:p>
    <w:p>
      <w:pPr>
        <w:spacing w:before="0" w:after="0" w:line="408" w:lineRule="exact"/>
        <w:ind w:left="0" w:right="0" w:firstLine="576"/>
        <w:jc w:val="left"/>
      </w:pPr>
      <w:r>
        <w:rPr/>
        <w:t xml:space="preserve">(k) Agreements that for good cause prohibit disclosure to the members</w:t>
      </w:r>
      <w:r>
        <w:rPr>
          <w:u w:val="single"/>
        </w:rPr>
        <w:t xml:space="preserve">; or</w:t>
      </w:r>
    </w:p>
    <w:p>
      <w:pPr>
        <w:spacing w:before="0" w:after="0" w:line="408" w:lineRule="exact"/>
        <w:ind w:left="0" w:right="0" w:firstLine="576"/>
        <w:jc w:val="left"/>
      </w:pPr>
      <w:r>
        <w:rPr>
          <w:u w:val="single"/>
        </w:rPr>
        <w:t xml:space="preserve">(l) Any information which would compromise the secrecy of a ballot cast under RCW 64.90.455(9)</w:t>
      </w:r>
      <w:r>
        <w:rPr/>
        <w:t xml:space="preserve">.</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w:t>
      </w:r>
      <w:r>
        <w:t>((</w:t>
      </w:r>
      <w:r>
        <w:rPr>
          <w:strike/>
        </w:rPr>
        <w:t xml:space="preserve">paper</w:t>
      </w:r>
      <w:r>
        <w:t>))</w:t>
      </w:r>
      <w:r>
        <w:rPr/>
        <w:t xml:space="preserve"> </w:t>
      </w:r>
      <w:r>
        <w:rPr>
          <w:u w:val="single"/>
        </w:rPr>
        <w:t xml:space="preserve">written</w:t>
      </w:r>
      <w:r>
        <w:rPr/>
        <w:t xml:space="preserve">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to the association </w:t>
      </w:r>
      <w:r>
        <w:t>((</w:t>
      </w:r>
      <w:r>
        <w:rPr>
          <w:strike/>
        </w:rPr>
        <w:t xml:space="preserve">immediately</w:t>
      </w:r>
      <w:r>
        <w:t>))</w:t>
      </w:r>
      <w:r>
        <w:rPr/>
        <w:t xml:space="preserve"> upon termination of its management relationship with the association, or upon such other demand as is made by the board. </w:t>
      </w:r>
      <w:r>
        <w:rPr>
          <w:u w:val="single"/>
        </w:rPr>
        <w:t xml:space="preserve">Electronic records must be provided within five business days of termination or the board's demand and written records must be provided within 10 business days of termination or the board's demand.</w:t>
      </w:r>
      <w:r>
        <w:rPr/>
        <w:t xml:space="preserve">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 an event or condition or a state of emergency declared by a government for an area that includes the common interest community that constitutes an imminent:</w:t>
      </w:r>
    </w:p>
    <w:p>
      <w:pPr>
        <w:spacing w:before="0" w:after="0" w:line="408" w:lineRule="exact"/>
        <w:ind w:left="0" w:right="0" w:firstLine="576"/>
        <w:jc w:val="left"/>
      </w:pPr>
      <w:r>
        <w:rPr/>
        <w:t xml:space="preserve">(a) Threat to the health or safety of the public or residents of the common interest community;</w:t>
      </w:r>
    </w:p>
    <w:p>
      <w:pPr>
        <w:spacing w:before="0" w:after="0" w:line="408" w:lineRule="exact"/>
        <w:ind w:left="0" w:right="0" w:firstLine="576"/>
        <w:jc w:val="left"/>
      </w:pPr>
      <w:r>
        <w:rPr/>
        <w:t xml:space="preserve">(b) Threat to the habitability of units; or</w:t>
      </w:r>
    </w:p>
    <w:p>
      <w:pPr>
        <w:spacing w:before="0" w:after="0" w:line="408" w:lineRule="exact"/>
        <w:ind w:left="0" w:right="0" w:firstLine="576"/>
        <w:jc w:val="left"/>
      </w:pPr>
      <w:r>
        <w:rPr/>
        <w:t xml:space="preserve">(c)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w:t>
      </w:r>
      <w:r>
        <w:rPr>
          <w:u w:val="single"/>
        </w:rPr>
        <w:t xml:space="preserve">(a)</w:t>
      </w:r>
      <w:r>
        <w:rPr/>
        <w:t xml:space="preserve">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w:t>
      </w:r>
    </w:p>
    <w:p>
      <w:pPr>
        <w:spacing w:before="0" w:after="0" w:line="408" w:lineRule="exact"/>
        <w:ind w:left="0" w:right="0" w:firstLine="576"/>
        <w:jc w:val="left"/>
      </w:pPr>
      <w:r>
        <w:rPr>
          <w:u w:val="single"/>
        </w:rPr>
        <w:t xml:space="preserve">(b) In a plat community, the governing documents may not prohibit the installation of a flagpole for the display of the flag of the United States. The governing documents may include reasonable rules and regulations regarding the location and the size of the flagpole.</w:t>
      </w:r>
    </w:p>
    <w:p>
      <w:pPr>
        <w:spacing w:before="0" w:after="0" w:line="408" w:lineRule="exact"/>
        <w:ind w:left="0" w:right="0" w:firstLine="576"/>
        <w:jc w:val="left"/>
      </w:pPr>
      <w:r>
        <w:rPr>
          <w:u w:val="single"/>
        </w:rPr>
        <w:t xml:space="preserve">(c)</w:t>
      </w:r>
      <w:r>
        <w:rPr/>
        <w:t xml:space="preserve">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w:t>
      </w:r>
      <w:r>
        <w:rPr>
          <w:u w:val="single"/>
        </w:rPr>
        <w:t xml:space="preserve">, including outdoor signs,</w:t>
      </w:r>
      <w:r>
        <w:rPr/>
        <w:t xml:space="preserve"> regarding candidates for public or association office, or ballot issues, on or within a unit or limited common element, but the association may adopt </w:t>
      </w:r>
      <w:r>
        <w:rPr>
          <w:u w:val="single"/>
        </w:rPr>
        <w:t xml:space="preserve">reasonable</w:t>
      </w:r>
      <w:r>
        <w:rPr/>
        <w:t xml:space="preserve"> rules governing the </w:t>
      </w:r>
      <w:r>
        <w:t>((</w:t>
      </w:r>
      <w:r>
        <w:rPr>
          <w:strike/>
        </w:rPr>
        <w:t xml:space="preserve">time, place, size, number,</w:t>
      </w:r>
      <w:r>
        <w:t>))</w:t>
      </w:r>
      <w:r>
        <w:rPr/>
        <w:t xml:space="preserve"> </w:t>
      </w:r>
      <w:r>
        <w:rPr>
          <w:u w:val="single"/>
        </w:rPr>
        <w:t xml:space="preserve">placement</w:t>
      </w:r>
      <w:r>
        <w:rPr/>
        <w:t xml:space="preserve">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w:t>
      </w:r>
      <w:r>
        <w:t>((</w:t>
      </w:r>
      <w:r>
        <w:rPr>
          <w:strike/>
        </w:rPr>
        <w:t xml:space="preserve">'</w:t>
      </w:r>
      <w:r>
        <w:t>))</w:t>
      </w:r>
      <w:r>
        <w:rPr/>
        <w:t xml:space="preserve">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w:t>
      </w:r>
      <w:r>
        <w:t>((</w:t>
      </w:r>
      <w:r>
        <w:rPr>
          <w:strike/>
        </w:rPr>
        <w:t xml:space="preserve">'</w:t>
      </w:r>
      <w:r>
        <w:t>))</w:t>
      </w:r>
      <w:r>
        <w:rPr/>
        <w:t xml:space="preserve">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w:t>
      </w:r>
    </w:p>
    <w:p>
      <w:pPr>
        <w:spacing w:before="0" w:after="0" w:line="408" w:lineRule="exact"/>
        <w:ind w:left="0" w:right="0" w:firstLine="576"/>
        <w:jc w:val="left"/>
      </w:pPr>
      <w:r>
        <w:rPr>
          <w:u w:val="single"/>
        </w:rPr>
        <w:t xml:space="preserve">(j) "THIS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0" w:right="0" w:firstLine="576"/>
        <w:jc w:val="left"/>
      </w:pPr>
      <w:r>
        <w:rPr>
          <w:u w:val="single"/>
        </w:rPr>
        <w:t xml:space="preserve">THE PURCHASER OF THIS UNIT WILL BE REQUIRED TO BE A MEMBER OF THE ASSOCIATION AND WILL BE SUBJECT TO THE GOVERNING DOCUMENTS.</w:t>
      </w:r>
    </w:p>
    <w:p>
      <w:pPr>
        <w:spacing w:before="0" w:after="0" w:line="408" w:lineRule="exact"/>
        <w:ind w:left="0" w:right="0" w:firstLine="576"/>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0" w:right="0" w:firstLine="576"/>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0" w:right="0" w:firstLine="576"/>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0" w:right="0" w:firstLine="576"/>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w:t>
      </w:r>
      <w:r>
        <w:t>((</w:t>
      </w:r>
      <w:r>
        <w:rPr>
          <w:strike/>
        </w:rPr>
        <w:t xml:space="preserve">'</w:t>
      </w:r>
      <w:r>
        <w:t>))</w:t>
      </w:r>
      <w:r>
        <w:rPr/>
        <w:t xml:space="preserve">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2028,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2028,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July 1, 2018, becomes subject to this chapter on January 1, 2028,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July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
      <w:pPr>
        <w:jc w:val="center"/>
      </w:pPr>
      <w:r>
        <w:rPr>
          <w:b/>
        </w:rPr>
        <w:t>--- END ---</w:t>
      </w:r>
    </w:p>
    <w:sectPr>
      <w:pgNumType w:start="1"/>
      <w:footerReference xmlns:r="http://schemas.openxmlformats.org/officeDocument/2006/relationships" r:id="Raecfe8bc9bdc46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3a630645c4ee5" /><Relationship Type="http://schemas.openxmlformats.org/officeDocument/2006/relationships/footer" Target="/word/footer1.xml" Id="Raecfe8bc9bdc46d5" /></Relationships>
</file>