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7d73e5a3274a47" /></Relationships>
</file>

<file path=word/document.xml><?xml version="1.0" encoding="utf-8"?>
<w:document xmlns:w="http://schemas.openxmlformats.org/wordprocessingml/2006/main">
  <w:body>
    <w:p>
      <w:r>
        <w:t>S-3651.2</w:t>
      </w:r>
    </w:p>
    <w:p>
      <w:pPr>
        <w:jc w:val="center"/>
      </w:pPr>
      <w:r>
        <w:t>_______________________________________________</w:t>
      </w:r>
    </w:p>
    <w:p/>
    <w:p>
      <w:pPr>
        <w:jc w:val="center"/>
      </w:pPr>
      <w:r>
        <w:rPr>
          <w:b/>
        </w:rPr>
        <w:t>SENATE BILL 5855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MacEwen, Stanford, and L. Wilson</w:t>
      </w:r>
    </w:p>
    <w:p/>
    <w:p>
      <w:r>
        <w:rPr>
          <w:t xml:space="preserve">Prefiled 12/15/23.</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by requiring summaries for certain agreements and policies presented in an electronic format;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consumers are frequently required to consent to lengthy and complex terms and conditions before receiving access to software and other electronic services. The legislature further finds that the length and complexity of these agreements, as well as great disparities in parties' bargaining power, often leads consumers to give consent before reading or fully understanding the terms and conditions to which they will agree. Therefore, the legislature concludes that requiring certain agreements and policies to contain a short, easy-to-understand summary of the agreement or policy will promote fairness between consumers and service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user agreement, end-user license agreement, software-as-a-service agreement, or privacy policy, presented in an electronic format, shall contain a plain-language summary of the agreement or policy. The summary shall appear in a conspicuous manner at the beginning of the agreement or policy and shall not exceed 100 words.</w:t>
      </w:r>
    </w:p>
    <w:p>
      <w:pPr>
        <w:spacing w:before="0" w:after="0" w:line="408" w:lineRule="exact"/>
        <w:ind w:left="0" w:right="0" w:firstLine="576"/>
        <w:jc w:val="left"/>
      </w:pPr>
      <w:r>
        <w:rPr/>
        <w:t xml:space="preserve">(2) For the purposes of this section, "electronic" has the same meaning as defined in RCW 1.80.010.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A violation of this chapter may not serve as the basis for, or be subject to, a private right of action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not apply to agreements or policies executed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shall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32c53f7c5d774b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f0806e91c646a0" /><Relationship Type="http://schemas.openxmlformats.org/officeDocument/2006/relationships/footer" Target="/word/footer1.xml" Id="R32c53f7c5d774b82" /></Relationships>
</file>