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e0813d07d40b6" /></Relationships>
</file>

<file path=word/document.xml><?xml version="1.0" encoding="utf-8"?>
<w:document xmlns:w="http://schemas.openxmlformats.org/wordprocessingml/2006/main">
  <w:body>
    <w:p>
      <w:r>
        <w:t>S-3419.1</w:t>
      </w:r>
    </w:p>
    <w:p>
      <w:pPr>
        <w:jc w:val="center"/>
      </w:pPr>
      <w:r>
        <w:t>_______________________________________________</w:t>
      </w:r>
    </w:p>
    <w:p/>
    <w:p>
      <w:pPr>
        <w:jc w:val="center"/>
      </w:pPr>
      <w:r>
        <w:rPr>
          <w:b/>
        </w:rPr>
        <w:t>SENATE BILL 5875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Van De Wege, and L. Wilson</w:t>
      </w:r>
    </w:p>
    <w:p/>
    <w:p>
      <w:r>
        <w:rPr>
          <w:t xml:space="preserve">Prefiled 12/19/23.</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balancing energy efficiency with consideration of other factors such as housing affordability, development costs, and feasibility in the state energy code for residential structures; and amending RCW 19.27A.045.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increase the energy efficiency of newly constructed residential buildings </w:t>
      </w:r>
      <w:r>
        <w:rPr>
          <w:u w:val="single"/>
        </w:rPr>
        <w:t xml:space="preserve">as long as the benefits of increasing energy efficiency are not outweighed by considerations of housing affordability, development costs, feasibility, or other similar factors apart from energy efficiency</w:t>
      </w:r>
      <w:r>
        <w:rPr/>
        <w:t xml:space="preserve">. Decisions to amend the Washington state energy code for residential structures shall be made prior to December 1</w:t>
      </w:r>
      <w:r>
        <w:rPr>
          <w:u w:val="single"/>
        </w:rPr>
        <w:t xml:space="preserve">st</w:t>
      </w:r>
      <w:r>
        <w:rPr/>
        <w:t xml:space="preserve"> of any year and shall not take effect before the end of the regular legislative session in the next year.</w:t>
      </w:r>
    </w:p>
    <w:p/>
    <w:p>
      <w:pPr>
        <w:jc w:val="center"/>
      </w:pPr>
      <w:r>
        <w:rPr>
          <w:b/>
        </w:rPr>
        <w:t>--- END ---</w:t>
      </w:r>
    </w:p>
    <w:sectPr>
      <w:pgNumType w:start="1"/>
      <w:footerReference xmlns:r="http://schemas.openxmlformats.org/officeDocument/2006/relationships" r:id="Rb8f5444e56f44b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18620340e4ab1" /><Relationship Type="http://schemas.openxmlformats.org/officeDocument/2006/relationships/footer" Target="/word/footer1.xml" Id="Rb8f5444e56f44bda" /></Relationships>
</file>