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d0ae88761c449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Dhingra, Kuderer, Nguyen, Nobles, and Pedersen)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ballot rejection rates through updates to ballot curing, canvassing, reporting, and outreach processes; amending RCW 29A.60.165, 29A.40.091, 29A.60.140, 29A.08.210, and 29A.08.210; reenacting and amending RCW 29A.40.110; adding a new section to chapter 29A.08 RCW; adding new sections to chapter 29A.60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w:t>
      </w:r>
      <w:r>
        <w:rPr>
          <w:u w:val="single"/>
        </w:rPr>
        <w:t xml:space="preserve">and, if the auditor has a telephone number or email address on file for a voter, by telephone, text message, or email,</w:t>
      </w:r>
      <w:r>
        <w:rPr/>
        <w:t xml:space="preserve"> and advise the voter </w:t>
      </w:r>
      <w:r>
        <w:rPr>
          <w:u w:val="single"/>
        </w:rPr>
        <w:t xml:space="preserve">both that their ballot is unsigned and</w:t>
      </w:r>
      <w:r>
        <w:rPr/>
        <w:t xml:space="preserve"> of the correct procedures for completing the unsigned declaration.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w:t>
      </w:r>
      <w:r>
        <w:rPr>
          <w:u w:val="single"/>
        </w:rPr>
        <w:t xml:space="preserve">and, if the auditor has a telephone number or email address on file for a voter, by telephone, text message, or email,</w:t>
      </w:r>
      <w:r>
        <w:rPr/>
        <w:t xml:space="preserve"> enclosing a copy of the declaration </w:t>
      </w:r>
      <w:r>
        <w:rPr>
          <w:u w:val="single"/>
        </w:rPr>
        <w:t xml:space="preserve">if notified by first-class mail or email</w:t>
      </w:r>
      <w:r>
        <w:rPr/>
        <w:t xml:space="preserve">, and advise the voter </w:t>
      </w:r>
      <w:r>
        <w:rPr>
          <w:u w:val="single"/>
        </w:rPr>
        <w:t xml:space="preserve">both that the signature on the ballot declaration does not match the signature on file and</w:t>
      </w:r>
      <w:r>
        <w:rPr/>
        <w:t xml:space="preserve"> of the correct procedures for updating his or her signature on the voter registration file.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w:t>
      </w:r>
      <w:r>
        <w:rPr>
          <w:u w:val="single"/>
        </w:rPr>
        <w:t xml:space="preserve">, text message, or email</w:t>
      </w:r>
      <w:r>
        <w:rPr/>
        <w:t xml:space="preserv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w:t>
      </w:r>
      <w:r>
        <w:rPr>
          <w:u w:val="single"/>
        </w:rPr>
        <w:t xml:space="preserve">voter's</w:t>
      </w:r>
      <w:r>
        <w:rPr/>
        <w:t xml:space="preserve"> name </w:t>
      </w:r>
      <w:r>
        <w:t>((</w:t>
      </w:r>
      <w:r>
        <w:rPr>
          <w:strike/>
        </w:rPr>
        <w:t xml:space="preserve">is different</w:t>
      </w:r>
      <w:r>
        <w:t>))</w:t>
      </w:r>
      <w:r>
        <w:rPr/>
        <w:t xml:space="preserve"> </w:t>
      </w:r>
      <w:r>
        <w:rPr>
          <w:u w:val="single"/>
        </w:rPr>
        <w:t xml:space="preserve">has changed</w:t>
      </w:r>
      <w:r>
        <w:rPr/>
        <w:t xml:space="preserve">,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If the auditor calls a voter who neglected to sign the ballot declaration or whose signature on the ballot declaration does not match the signature in the registration file and the voter does not answer, but voice mail is available, the auditor shall leave a voice mail message.</w:t>
      </w:r>
    </w:p>
    <w:p>
      <w:pPr>
        <w:spacing w:before="0" w:after="0" w:line="408" w:lineRule="exact"/>
        <w:ind w:left="0" w:right="0" w:firstLine="576"/>
        <w:jc w:val="left"/>
      </w:pPr>
      <w:r>
        <w:rPr>
          <w:u w:val="single"/>
        </w:rPr>
        <w:t xml:space="preserve">(4) An auditor who provides electronic means for submission of a ballot declaration signature shall establish appropriate privacy and security protocols that ensure that the information transmitted is received directly and securely by the auditor and is only used for the stated purposes of verifying the signature on the voter's ballot.</w:t>
      </w:r>
    </w:p>
    <w:p>
      <w:pPr>
        <w:spacing w:before="0" w:after="0" w:line="408" w:lineRule="exact"/>
        <w:ind w:left="0" w:right="0" w:firstLine="576"/>
        <w:jc w:val="left"/>
      </w:pPr>
      <w:r>
        <w:rPr>
          <w:u w:val="single"/>
        </w:rPr>
        <w:t xml:space="preserve">(5) If a voter's ballot is rejected in two consecutive primary or general elections due to a mismatched signature, the auditor must contact the voter by telephone, text message, or email, if the auditor has a telephone number or email address on file for the voter, and request that the voter update their signature for the voter's registration file.</w:t>
      </w:r>
    </w:p>
    <w:p>
      <w:pPr>
        <w:spacing w:before="0" w:after="0" w:line="408" w:lineRule="exact"/>
        <w:ind w:left="0" w:right="0" w:firstLine="576"/>
        <w:jc w:val="left"/>
      </w:pPr>
      <w:r>
        <w:rPr>
          <w:u w:val="single"/>
        </w:rPr>
        <w:t xml:space="preserve">(6)</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After certification of general, primary, and presidential primary election results, county auditors are encouraged to contact each registered voter to obtain an updated signature for the voter's registration file. Failure to respond to contact from the county auditor under this section shall not impact the voter's registration status. Any contact from a county auditor under this section must clearly state that the voter is not required to provide an updated signature and that providing an updated signature is not a requirement to vote in any future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shall:</w:t>
      </w:r>
    </w:p>
    <w:p>
      <w:pPr>
        <w:spacing w:before="0" w:after="0" w:line="408" w:lineRule="exact"/>
        <w:ind w:left="0" w:right="0" w:firstLine="576"/>
        <w:jc w:val="left"/>
      </w:pPr>
      <w:r>
        <w:rPr/>
        <w:t xml:space="preserve">(a) Adopt and regularly review statewide standards for determining whether the voter's signature on the ballot declaration is the same as the signature of that voter in the county's registration files as required by RCW 29A.40.110(3);</w:t>
      </w:r>
    </w:p>
    <w:p>
      <w:pPr>
        <w:spacing w:before="0" w:after="0" w:line="408" w:lineRule="exact"/>
        <w:ind w:left="0" w:right="0" w:firstLine="576"/>
        <w:jc w:val="left"/>
      </w:pPr>
      <w:r>
        <w:rPr/>
        <w:t xml:space="preserve">(b) Adopt, publish, and regularly update a training manual, reviewed by appropriate experts, for the use of local election personnel in implementing the standards adopted under (a) of this subsection; and</w:t>
      </w:r>
    </w:p>
    <w:p>
      <w:pPr>
        <w:spacing w:before="0" w:after="0" w:line="408" w:lineRule="exact"/>
        <w:ind w:left="0" w:right="0" w:firstLine="576"/>
        <w:jc w:val="left"/>
      </w:pPr>
      <w:r>
        <w:rPr/>
        <w:t xml:space="preserve">(c) Design and implement tools intended to confirm compliance with these standards. These tools shall be available to county auditors for compliance, and may include comparisons, at random intervals, of whether rejections of signatures on ballot declarations for failure to match the voter's signature in the county's registration files comply with the standards adopted under (a) of this subsection.</w:t>
      </w:r>
    </w:p>
    <w:p>
      <w:pPr>
        <w:spacing w:before="0" w:after="0" w:line="408" w:lineRule="exact"/>
        <w:ind w:left="0" w:right="0" w:firstLine="576"/>
        <w:jc w:val="left"/>
      </w:pPr>
      <w:r>
        <w:rPr/>
        <w:t xml:space="preserve">(2) All training materials for canvassing review board members and election personnel on the statewide standards for signature verification established in this section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secretary of state shall design forms for voters to use in completing incomplete ballot declarations and forms to be used by voters in updating a voter's signature in the county's registration files in the various languages required of state agencies. The forms must include the oath and warning language used on voter registration forms. Each county auditor shall provide these forms on the auditor's website and in the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county auditor shall develop a community outreach plan to educate voters about signature verification requirements and the importance of ballot signatures matching signatures in voter registration files. The outreach plan shall include materials for publication on the county auditor's website and distribution in communities throughout the county that clearly explain signature verification requirements and the process of updating signatures in voter registration files or curing challenged ballots under RCW 29A.60.165. Materials prepared under the outreach plan should be written clearly and in plain language. Materials must be produced in English, Spanish, and any other language required by the federal voting rights act. Materials prepared as part of the outreach plan should be informed by the data collected in the survey required by RCW 29A.60.300 and should target groups with higher rates of ballot rejection. The secretary of state may assist in preparation of materials for a county's outreach plan, including coordinating between multiple counties and providing information about statewide requirements.</w:t>
      </w:r>
    </w:p>
    <w:p>
      <w:pPr>
        <w:spacing w:before="0" w:after="0" w:line="408" w:lineRule="exact"/>
        <w:ind w:left="0" w:right="0" w:firstLine="576"/>
        <w:jc w:val="left"/>
      </w:pPr>
      <w:r>
        <w:rPr/>
        <w:t xml:space="preserve">(2) County auditors are encouraged to establish partnerships with trusted community organizations as part of the community outreach plan to maximize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w:t>
      </w:r>
      <w:r>
        <w:t>((</w:t>
      </w:r>
      <w:r>
        <w:rPr>
          <w:strike/>
        </w:rPr>
        <w:t xml:space="preserve">and</w:t>
      </w:r>
      <w:r>
        <w:t>))</w:t>
      </w:r>
      <w:r>
        <w:rPr/>
        <w:t xml:space="preserve"> it is illegal to cast a ballot or sign a ballot declaration on behalf of another voter</w:t>
      </w:r>
      <w:r>
        <w:rPr>
          <w:u w:val="single"/>
        </w:rPr>
        <w:t xml:space="preserve">; and that the signature on the declaration will be compared to the signature in the voter's registration file</w:t>
      </w:r>
      <w:r>
        <w:rPr/>
        <w:t xml:space="preserve">.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w:t>
      </w:r>
      <w:r>
        <w:rPr>
          <w:u w:val="single"/>
        </w:rPr>
        <w:t xml:space="preserve">The county auditor shall publish on its website the names of all canvassing board members who received training on statewide standards for signature verification and the dates on which the training was completed.</w:t>
      </w:r>
      <w:r>
        <w:rPr/>
        <w:t xml:space="preserve">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w:t>
      </w:r>
      <w:r>
        <w:rPr>
          <w:u w:val="single"/>
        </w:rPr>
        <w:t xml:space="preserve">Meetings must be conducted at times and locations that are accessible to the public to ensure that the public is informed and able to attend or observe. The time and location of county canvassing board meetings must be published in accordance with chapter 42.30 RCW.</w:t>
      </w:r>
      <w:r>
        <w:rPr/>
        <w:t xml:space="preserve"> All rules adopted by the county canvassing board must be adopted in a public meeting under chapter 42.30 RCW, and once adopted must be available to the public to review and copy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sixteen years old;</w:t>
      </w:r>
    </w:p>
    <w:p>
      <w:pPr>
        <w:spacing w:before="0" w:after="0" w:line="408" w:lineRule="exact"/>
        <w:ind w:left="0" w:right="0" w:firstLine="576"/>
        <w:jc w:val="left"/>
      </w:pPr>
      <w:r>
        <w:rPr/>
        <w:t xml:space="preserve">(10)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(10) A check box and declaration confirming that the applicant is a citizen of the United States;</w:t>
      </w:r>
    </w:p>
    <w:p>
      <w:pPr>
        <w:spacing w:before="0" w:after="0" w:line="408" w:lineRule="exact"/>
        <w:ind w:left="0" w:right="0" w:firstLine="576"/>
        <w:jc w:val="left"/>
      </w:pPr>
      <w:r>
        <w:rPr/>
        <w:t xml:space="preserve">(11)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(12)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(13)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29A.60 RCW to read as follows:</w:t>
      </w:r>
    </w:p>
    <w:p>
      <w:pPr>
        <w:spacing w:before="0" w:after="0" w:line="408" w:lineRule="exact"/>
        <w:ind w:left="0" w:right="0" w:firstLine="576"/>
        <w:jc w:val="left"/>
      </w:pPr>
      <w:r>
        <w:rPr/>
        <w:t xml:space="preserve">(1) A work group is established to approve a uniform ballot envelope design to be used by all counties in each election beginning with the 2026 primary election.</w:t>
      </w:r>
    </w:p>
    <w:p>
      <w:pPr>
        <w:spacing w:before="0" w:after="0" w:line="408" w:lineRule="exact"/>
        <w:ind w:left="0" w:right="0" w:firstLine="576"/>
        <w:jc w:val="left"/>
      </w:pPr>
      <w:r>
        <w:rPr/>
        <w:t xml:space="preserve">(2) The work group must be chaired by the secretary of state, or the secretary's designee, and include at a minimum the following members, appointed by the secretary of state:</w:t>
      </w:r>
    </w:p>
    <w:p>
      <w:pPr>
        <w:spacing w:before="0" w:after="0" w:line="408" w:lineRule="exact"/>
        <w:ind w:left="0" w:right="0" w:firstLine="576"/>
        <w:jc w:val="left"/>
      </w:pPr>
      <w:r>
        <w:rPr/>
        <w:t xml:space="preserve">(a) Two county auditors or their designees, with one auditor residing in western Washington and one auditor residing in eastern Washington;</w:t>
      </w:r>
    </w:p>
    <w:p>
      <w:pPr>
        <w:spacing w:before="0" w:after="0" w:line="408" w:lineRule="exact"/>
        <w:ind w:left="0" w:right="0" w:firstLine="576"/>
        <w:jc w:val="left"/>
      </w:pPr>
      <w:r>
        <w:rPr/>
        <w:t xml:space="preserve">(b) A representative from the University of Washington Evans school of public policy and governance; </w:t>
      </w:r>
    </w:p>
    <w:p>
      <w:pPr>
        <w:spacing w:before="0" w:after="0" w:line="408" w:lineRule="exact"/>
        <w:ind w:left="0" w:right="0" w:firstLine="576"/>
        <w:jc w:val="left"/>
      </w:pPr>
      <w:r>
        <w:rPr/>
        <w:t xml:space="preserve">(c) A representative from a nonprofit educational research organization with expertise in designing voting materials; and</w:t>
      </w:r>
    </w:p>
    <w:p>
      <w:pPr>
        <w:spacing w:before="0" w:after="0" w:line="408" w:lineRule="exact"/>
        <w:ind w:left="0" w:right="0" w:firstLine="576"/>
        <w:jc w:val="left"/>
      </w:pPr>
      <w:r>
        <w:rPr/>
        <w:t xml:space="preserve">(d) Other recognized experts and staff as deemed necessary by the work group's chair.</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15, 2024.</w:t>
      </w:r>
    </w:p>
    <w:p/>
    <w:p>
      <w:pPr>
        <w:jc w:val="center"/>
      </w:pPr>
      <w:r>
        <w:rPr>
          <w:b/>
        </w:rPr>
        <w:t>--- END ---</w:t>
      </w:r>
    </w:p>
    <w:sectPr>
      <w:pgNumType w:start="1"/>
      <w:footerReference xmlns:r="http://schemas.openxmlformats.org/officeDocument/2006/relationships" r:id="Rc3bd9fede1844a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3764158c64796" /><Relationship Type="http://schemas.openxmlformats.org/officeDocument/2006/relationships/footer" Target="/word/footer1.xml" Id="Rc3bd9fede1844a5b" /></Relationships>
</file>