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d73c1fef2410c" /></Relationships>
</file>

<file path=word/document.xml><?xml version="1.0" encoding="utf-8"?>
<w:document xmlns:w="http://schemas.openxmlformats.org/wordprocessingml/2006/main">
  <w:body>
    <w:p>
      <w:r>
        <w:t>S-3698.1</w:t>
      </w:r>
    </w:p>
    <w:p>
      <w:pPr>
        <w:jc w:val="center"/>
      </w:pPr>
      <w:r>
        <w:t>_______________________________________________</w:t>
      </w:r>
    </w:p>
    <w:p/>
    <w:p>
      <w:pPr>
        <w:jc w:val="center"/>
      </w:pPr>
      <w:r>
        <w:rPr>
          <w:b/>
        </w:rPr>
        <w:t>SENATE BILL 5895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Stanford, Conway, Dhingra, Frame, Hasegawa, Hunt, Keiser, Kuderer, Liias, Nguyen, Randall, Saldaña, Trudeau, and Valdez</w:t>
      </w:r>
    </w:p>
    <w:p/>
    <w:p>
      <w:r>
        <w:rPr>
          <w:t xml:space="preserve">Prefiled 12/21/23.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certain employees who are enrolled in academic programs at public institutions of higher education; adding a new section to chapter 41.56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1152"/>
        <w:jc w:val="left"/>
      </w:pPr>
      <w:r>
        <w:rPr/>
        <w:t xml:space="preserve">(1)(a) In addition to the entities listed in RCW 41.56.020, this chapter applies to all employees who are enrolled in an academic or certificate program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(b) For the purposes of collective bargaining under this section, an employee is considered enrolled in an academic or certificate program during campus academic breaks, including any winter, spring, or summer break, if the employee is employed by an institution of higher education covered by (a) of this subsection over the course of the campus academic break and is enrolled in an academic or certificate program on any campus of the institution of higher education in the quarter or semester immediately preceding, or subsequent to, the campus academic break.</w:t>
      </w:r>
    </w:p>
    <w:p>
      <w:pPr>
        <w:spacing w:before="0" w:after="0" w:line="408" w:lineRule="exact"/>
        <w:ind w:left="0" w:right="0" w:firstLine="576"/>
        <w:jc w:val="left"/>
      </w:pPr>
      <w:r>
        <w:rPr/>
        <w:t xml:space="preserve">(c) For the purposes of this section, "employee" does not include employees eligible for collective bargaining under RCW 41.56.021, 41.56.0215, 41.56.022, 41.56.024, 41.56.203, or 41.56.205 or chapter 28B.52, 41.76, or 41.80 RCW.</w:t>
      </w:r>
    </w:p>
    <w:p>
      <w:pPr>
        <w:spacing w:before="0" w:after="0" w:line="408" w:lineRule="exact"/>
        <w:ind w:left="0" w:right="0" w:firstLine="576"/>
        <w:jc w:val="left"/>
      </w:pPr>
      <w:r>
        <w:rPr/>
        <w:t xml:space="preserve">(2) A bargaining unit of all employees covered by this section is the only appropriate unit for the purposes of collective bargaining under this section. A bargaining unit is not appropriate if it includes more than one institution of higher education.</w:t>
      </w:r>
    </w:p>
    <w:p>
      <w:pPr>
        <w:spacing w:before="0" w:after="0" w:line="408" w:lineRule="exact"/>
        <w:ind w:left="0" w:right="0" w:firstLine="576"/>
        <w:jc w:val="left"/>
      </w:pPr>
      <w:r>
        <w:rPr/>
        <w:t xml:space="preserve">(3)(a) The scope of bargaining for employees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ca3652b9ba40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4af60672c4191" /><Relationship Type="http://schemas.openxmlformats.org/officeDocument/2006/relationships/footer" Target="/word/footer1.xml" Id="R64ca3652b9ba4049" /></Relationships>
</file>