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e91a61fe8f4873" /></Relationships>
</file>

<file path=word/document.xml><?xml version="1.0" encoding="utf-8"?>
<w:document xmlns:w="http://schemas.openxmlformats.org/wordprocessingml/2006/main">
  <w:body>
    <w:p>
      <w:r>
        <w:t>S-3668.2</w:t>
      </w:r>
    </w:p>
    <w:p>
      <w:pPr>
        <w:jc w:val="center"/>
      </w:pPr>
      <w:r>
        <w:t>_______________________________________________</w:t>
      </w:r>
    </w:p>
    <w:p/>
    <w:p>
      <w:pPr>
        <w:jc w:val="center"/>
      </w:pPr>
      <w:r>
        <w:rPr>
          <w:b/>
        </w:rPr>
        <w:t>SENATE BILL 5912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 Wilson, Dhingra, Frame, Hasegawa, Nguyen, Nobles, and Trudeau</w:t>
      </w:r>
    </w:p>
    <w:p/>
    <w:p>
      <w:r>
        <w:rPr>
          <w:t xml:space="preserve">Prefiled 12/27/23.</w:t>
        </w:rPr>
      </w:r>
      <w:r>
        <w:rPr>
          <w:t xml:space="preserve">Read first time 01/08/24.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reentry services and supports; amending RCW 72.09.270;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successful rehabilitation and reentry has a positive impact on reduced recidivism rates and increased community safety. The legislature further finds that the success of individuals releasing from confinement in correctional institutions can be increased through access to supportive services, medical assistance, and other necessities. The legislature recognizes that the mortality rate in the first 72 hours following release from confinement is on average 18 times higher than the general population. The legislature further finds that access to basic human needs like food, medication, clothing, transportation, and shelter are necessary supports for most individuals exiting confinement. Therefore, the legislature resolves to enhance recovery, reduce recidivism, and improve public safety by providing increased access to supportive services and assistance following release from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2021 c 200 s 3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incarcerated individual who is committed to the jurisdiction of the department except:</w:t>
      </w:r>
    </w:p>
    <w:p>
      <w:pPr>
        <w:spacing w:before="0" w:after="0" w:line="408" w:lineRule="exact"/>
        <w:ind w:left="0" w:right="0" w:firstLine="576"/>
        <w:jc w:val="left"/>
      </w:pPr>
      <w:r>
        <w:rPr/>
        <w:t xml:space="preserve">(a) Incarcerated individuals who are sentenced to life without the possibility of release or sentenced to death under chapter 10.95 RCW; and</w:t>
      </w:r>
    </w:p>
    <w:p>
      <w:pPr>
        <w:spacing w:before="0" w:after="0" w:line="408" w:lineRule="exact"/>
        <w:ind w:left="0" w:right="0" w:firstLine="576"/>
        <w:jc w:val="left"/>
      </w:pPr>
      <w:r>
        <w:rPr/>
        <w:t xml:space="preserve">(b) Incarcerated individuals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incarcerated individuals using standardized and comprehensive tools to identify the criminogenic risks, programmatic needs, and educational and vocational skill levels for each incarcerated individual. The assessment tool should take into account demographic biases, such as culture, age, and gender, as well as the needs of the incarcerated individual, including any learning disabilities, substance abuse or mental health issues, and social or behavior challenges.</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incarcerated individual's individual reentry plan shall be developed as soon as possible after the initial assessment is conducted, but, whenever possible, no later than </w:t>
      </w:r>
      <w:r>
        <w:t>((</w:t>
      </w:r>
      <w:r>
        <w:rPr>
          <w:strike/>
        </w:rPr>
        <w:t xml:space="preserve">sixty</w:t>
      </w:r>
      <w:r>
        <w:t>))</w:t>
      </w:r>
      <w:r>
        <w:rPr/>
        <w:t xml:space="preserve"> </w:t>
      </w:r>
      <w:r>
        <w:rPr>
          <w:u w:val="single"/>
        </w:rPr>
        <w:t xml:space="preserve">60</w:t>
      </w:r>
      <w:r>
        <w:rPr/>
        <w:t xml:space="preserve">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incarcerated individual's children and family, if appropriate. The plan should determine whether parenting classes, or other services, are appropriate to facilitate successful reunification with the incarcerated individual's children and family;</w:t>
      </w:r>
    </w:p>
    <w:p>
      <w:pPr>
        <w:spacing w:before="0" w:after="0" w:line="408" w:lineRule="exact"/>
        <w:ind w:left="0" w:right="0" w:firstLine="576"/>
        <w:jc w:val="left"/>
      </w:pPr>
      <w:r>
        <w:rPr/>
        <w:t xml:space="preserve">(b) An individualized portfolio for each incarcerated individual that includes the incarcerated individual's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incarcerated individual during the period of incarceration through reentry into the community that addresses the needs of the incarcerated individual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w:t>
      </w:r>
      <w:r>
        <w:t>((</w:t>
      </w:r>
      <w:r>
        <w:rPr>
          <w:strike/>
        </w:rPr>
        <w:t xml:space="preserve">Prior to</w:t>
      </w:r>
      <w:r>
        <w:t>))</w:t>
      </w:r>
      <w:r>
        <w:rPr/>
        <w:t xml:space="preserve"> </w:t>
      </w:r>
      <w:r>
        <w:rPr>
          <w:u w:val="single"/>
        </w:rPr>
        <w:t xml:space="preserve">Within one year prior to the release or</w:t>
      </w:r>
      <w:r>
        <w:rPr/>
        <w:t xml:space="preserve"> discharge of any incarcerated individual, the department shall </w:t>
      </w:r>
      <w:r>
        <w:rPr>
          <w:u w:val="single"/>
        </w:rPr>
        <w:t xml:space="preserve">develop an individual discharge plan and provide reentry linkage case management services as follows</w:t>
      </w:r>
      <w:r>
        <w:rPr/>
        <w:t xml:space="preserve">:</w:t>
      </w:r>
    </w:p>
    <w:p>
      <w:pPr>
        <w:spacing w:before="0" w:after="0" w:line="408" w:lineRule="exact"/>
        <w:ind w:left="0" w:right="0" w:firstLine="576"/>
        <w:jc w:val="left"/>
      </w:pPr>
      <w:r>
        <w:rPr/>
        <w:t xml:space="preserve">(i) Evaluate the incarcerated individual's </w:t>
      </w:r>
      <w:r>
        <w:rPr>
          <w:u w:val="single"/>
        </w:rPr>
        <w:t xml:space="preserve">behavioral health and physical health</w:t>
      </w:r>
      <w:r>
        <w:rPr/>
        <w:t xml:space="preserve"> needs and, to the extent possible, connect the incarcerated individual with </w:t>
      </w:r>
      <w:r>
        <w:t>((</w:t>
      </w:r>
      <w:r>
        <w:rPr>
          <w:strike/>
        </w:rPr>
        <w:t xml:space="preserve">existing services and resources that meet those needs</w:t>
      </w:r>
      <w:r>
        <w:t>))</w:t>
      </w:r>
      <w:r>
        <w:rPr/>
        <w:t xml:space="preserve"> </w:t>
      </w:r>
      <w:r>
        <w:rPr>
          <w:u w:val="single"/>
        </w:rPr>
        <w:t xml:space="preserve">relevant services, treatment programs, medication-assisted treatment, tribal and urban health clinics, behavioral health services, and other resources based on the individual's evaluated needs;</w:t>
      </w:r>
    </w:p>
    <w:p>
      <w:pPr>
        <w:spacing w:before="0" w:after="0" w:line="408" w:lineRule="exact"/>
        <w:ind w:left="0" w:right="0" w:firstLine="576"/>
        <w:jc w:val="left"/>
      </w:pPr>
      <w:r>
        <w:rPr>
          <w:u w:val="single"/>
        </w:rPr>
        <w:t xml:space="preserve">(ii) Assist the incarcerated individual with obtaining identification upon release;</w:t>
      </w:r>
    </w:p>
    <w:p>
      <w:pPr>
        <w:spacing w:before="0" w:after="0" w:line="408" w:lineRule="exact"/>
        <w:ind w:left="0" w:right="0" w:firstLine="576"/>
        <w:jc w:val="left"/>
      </w:pPr>
      <w:r>
        <w:rPr>
          <w:u w:val="single"/>
        </w:rPr>
        <w:t xml:space="preserve">(iii) Assist the incarcerated individual with submitting applications for applicable state and federal government assistance and benefits programs on behalf of the incarcerated individual;</w:t>
      </w:r>
    </w:p>
    <w:p>
      <w:pPr>
        <w:spacing w:before="0" w:after="0" w:line="408" w:lineRule="exact"/>
        <w:ind w:left="0" w:right="0" w:firstLine="576"/>
        <w:jc w:val="left"/>
      </w:pPr>
      <w:r>
        <w:rPr>
          <w:u w:val="single"/>
        </w:rPr>
        <w:t xml:space="preserve">(iv) Prepare a 90-day supply of any necessary prescribed medications to be provided upon release, through a combination of a 30-day supply of in-hand medications and 60-day supply of prescriptions, to ensure continuity of care and that medications are readily available for the incarcerated individual upon release</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(v)</w:t>
      </w:r>
      <w:r>
        <w:rPr/>
        <w:t xml:space="preserve"> Connect the incarcerated individual with a community justice center and/or community transition coordination network in the area in which the incarcerated individual will be residing once released from the correctional system if one exists.</w:t>
      </w:r>
    </w:p>
    <w:p>
      <w:pPr>
        <w:spacing w:before="0" w:after="0" w:line="408" w:lineRule="exact"/>
        <w:ind w:left="0" w:right="0" w:firstLine="576"/>
        <w:jc w:val="left"/>
      </w:pPr>
      <w:r>
        <w:rPr/>
        <w:t xml:space="preserve">(b) </w:t>
      </w:r>
      <w:r>
        <w:rPr>
          <w:u w:val="single"/>
        </w:rPr>
        <w:t xml:space="preserve">If the department has made arrangements with a partnering nonprofit organization that will support the individual's reentry into the community, the department shall make every effort to coordinate the timing of the individual's release from the department's custody.</w:t>
      </w:r>
    </w:p>
    <w:p>
      <w:pPr>
        <w:spacing w:before="0" w:after="0" w:line="408" w:lineRule="exact"/>
        <w:ind w:left="0" w:right="0" w:firstLine="576"/>
        <w:jc w:val="left"/>
      </w:pPr>
      <w:r>
        <w:rPr>
          <w:u w:val="single"/>
        </w:rPr>
        <w:t xml:space="preserve">(c)</w:t>
      </w:r>
      <w:r>
        <w:rPr/>
        <w:t xml:space="preserve"> If the department recommends partial confinement in an incarcerated individual's individual reentry plan, the department shall maximize the period of partial confinement for the incarcerated individual as allowed pursuant to RCW 9.94A.728 to facilitate the incarcerated individual's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incarcerated individual's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incarcerated individual released to community custody, the department may approve a residence location that is not in the incarcerated individual's county of origin if the department determines that the residence location would be appropriate based on any court-ordered condition of the incarcerated individual's sentence, victim safety concerns, and factors that increase opportunities for successful reentry and long-term support including, but not limited to, location of family or other sponsoring persons or organizations that will support the incarcerated individual, ability to complete an educational program that the incarcerated individual is enrolled in, availability of appropriate programming or treatment, and access to housing, employment, and prosocial influences on the person in the community.</w:t>
      </w:r>
    </w:p>
    <w:p>
      <w:pPr>
        <w:spacing w:before="0" w:after="0" w:line="408" w:lineRule="exact"/>
        <w:ind w:left="0" w:right="0" w:firstLine="576"/>
        <w:jc w:val="left"/>
      </w:pPr>
      <w:r>
        <w:rPr/>
        <w:t xml:space="preserve">(b) 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t xml:space="preserve">(c) If the incarcerated individual is not returned to his or her county of origin, the department shall provide the law and justice council of the county in which the incarcerated individual is placed with a written explanation.</w:t>
      </w:r>
    </w:p>
    <w:p>
      <w:pPr>
        <w:spacing w:before="0" w:after="0" w:line="408" w:lineRule="exact"/>
        <w:ind w:left="0" w:right="0" w:firstLine="576"/>
        <w:jc w:val="left"/>
      </w:pPr>
      <w:r>
        <w:rPr/>
        <w:t xml:space="preserve">(d)(i) For purposes of this section, except as provided in (d)(ii) of this subsection, the incarcerated individual's county of origin means the county of the incarcerated individual's residence at the time of the incarcerated individual's first felony conviction in Washington state.</w:t>
      </w:r>
    </w:p>
    <w:p>
      <w:pPr>
        <w:spacing w:before="0" w:after="0" w:line="408" w:lineRule="exact"/>
        <w:ind w:left="0" w:right="0" w:firstLine="576"/>
        <w:jc w:val="left"/>
      </w:pPr>
      <w:r>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
      <w:pPr>
        <w:jc w:val="center"/>
      </w:pPr>
      <w:r>
        <w:rPr>
          <w:b/>
        </w:rPr>
        <w:t>--- END ---</w:t>
      </w:r>
    </w:p>
    <w:sectPr>
      <w:pgNumType w:start="1"/>
      <w:footerReference xmlns:r="http://schemas.openxmlformats.org/officeDocument/2006/relationships" r:id="R8ef4fb6c20b145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16b27a05064324" /><Relationship Type="http://schemas.openxmlformats.org/officeDocument/2006/relationships/footer" Target="/word/footer1.xml" Id="R8ef4fb6c20b14537" /></Relationships>
</file>