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16bd9c02f44e8" /></Relationships>
</file>

<file path=word/document.xml><?xml version="1.0" encoding="utf-8"?>
<w:document xmlns:w="http://schemas.openxmlformats.org/wordprocessingml/2006/main">
  <w:body>
    <w:p>
      <w:r>
        <w:t>S-3605.2</w:t>
      </w:r>
    </w:p>
    <w:p>
      <w:pPr>
        <w:jc w:val="center"/>
      </w:pPr>
      <w:r>
        <w:t>_______________________________________________</w:t>
      </w:r>
    </w:p>
    <w:p/>
    <w:p>
      <w:pPr>
        <w:jc w:val="center"/>
      </w:pPr>
      <w:r>
        <w:rPr>
          <w:b/>
        </w:rPr>
        <w:t>SENATE BILL 5935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Keiser, Conway, Dhingra, Frame, Kuderer, Liias, Nobles, and Saldaña</w:t>
      </w:r>
    </w:p>
    <w:p/>
    <w:p>
      <w:r>
        <w:rPr>
          <w:t xml:space="preserve">Prefiled 01/02/24.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covenants; and amending RCW 49.62.005, 49.62.010, 49.62.020, 49.62.050, 49.62.080, and 49.62.090.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005</w:t>
      </w:r>
      <w:r>
        <w:rPr/>
        <w:t xml:space="preserve"> and 2019 c 299 s 1 are each amended to read as follows:</w:t>
      </w:r>
    </w:p>
    <w:p>
      <w:pPr>
        <w:spacing w:before="0" w:after="0" w:line="408" w:lineRule="exact"/>
        <w:ind w:left="0" w:right="0" w:firstLine="576"/>
        <w:jc w:val="left"/>
      </w:pPr>
      <w:r>
        <w:rPr/>
        <w:t xml:space="preserve">The legislature finds that </w:t>
      </w:r>
      <w:r>
        <w:t>((</w:t>
      </w:r>
      <w:r>
        <w:rPr>
          <w:strike/>
        </w:rPr>
        <w:t xml:space="preserve">workforce</w:t>
      </w:r>
      <w:r>
        <w:t>))</w:t>
      </w:r>
      <w:r>
        <w:rPr>
          <w:u w:val="single"/>
        </w:rPr>
        <w:t xml:space="preserve">:</w:t>
      </w:r>
    </w:p>
    <w:p>
      <w:pPr>
        <w:spacing w:before="0" w:after="0" w:line="408" w:lineRule="exact"/>
        <w:ind w:left="0" w:right="0" w:firstLine="576"/>
        <w:jc w:val="left"/>
      </w:pPr>
      <w:r>
        <w:rPr>
          <w:u w:val="single"/>
        </w:rPr>
        <w:t xml:space="preserve">(1) Workforce</w:t>
      </w:r>
      <w:r>
        <w:rPr/>
        <w:t xml:space="preserve"> mobility is important to economic growth and development</w:t>
      </w:r>
      <w:r>
        <w:t>((</w:t>
      </w:r>
      <w:r>
        <w:rPr>
          <w:strike/>
        </w:rPr>
        <w:t xml:space="preserve">. Further, the legislature finds that agreements</w:t>
      </w:r>
      <w:r>
        <w:t>))</w:t>
      </w:r>
      <w:r>
        <w:rPr>
          <w:u w:val="single"/>
        </w:rPr>
        <w:t xml:space="preserve">;</w:t>
      </w:r>
    </w:p>
    <w:p>
      <w:pPr>
        <w:spacing w:before="0" w:after="0" w:line="408" w:lineRule="exact"/>
        <w:ind w:left="0" w:right="0" w:firstLine="576"/>
        <w:jc w:val="left"/>
      </w:pPr>
      <w:r>
        <w:rPr>
          <w:u w:val="single"/>
        </w:rPr>
        <w:t xml:space="preserve">(2) Agreements</w:t>
      </w:r>
      <w:r>
        <w:rPr/>
        <w:t xml:space="preserve"> limiting competition or hiring may be contracts of adhesion that may be unreasonable</w:t>
      </w:r>
      <w:r>
        <w:rPr>
          <w:u w:val="single"/>
        </w:rPr>
        <w:t xml:space="preserve">; and</w:t>
      </w:r>
    </w:p>
    <w:p>
      <w:pPr>
        <w:spacing w:before="0" w:after="0" w:line="408" w:lineRule="exact"/>
        <w:ind w:left="0" w:right="0" w:firstLine="576"/>
        <w:jc w:val="left"/>
      </w:pPr>
      <w:r>
        <w:rPr>
          <w:u w:val="single"/>
        </w:rPr>
        <w:t xml:space="preserve">(3) The provisions in this chapter facilitating workforce mobility and protecting employees and independent contractors need to be liberally construed and exceptions narrowly construed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w:t>
      </w:r>
      <w:r>
        <w:rPr>
          <w:u w:val="single"/>
        </w:rPr>
        <w:t xml:space="preserve">A "noncompetition covenant" also includes an agreement that directly or indirectly prohibits the acceptance or transaction of business with a customer.</w:t>
      </w:r>
      <w:r>
        <w:rPr/>
        <w:t xml:space="preserve">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w:t>
      </w:r>
      <w:r>
        <w:rPr>
          <w:u w:val="single"/>
        </w:rPr>
        <w:t xml:space="preserve">, but only if the person signing the covenant purchases, sells, acquires, or disposes of an interest representing 25 percent or more of the business</w:t>
      </w:r>
      <w:r>
        <w:rPr/>
        <w:t xml:space="preserve">;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w:t>
      </w:r>
      <w:r>
        <w:rPr>
          <w:u w:val="single"/>
        </w:rPr>
        <w:t xml:space="preserve">current</w:t>
      </w:r>
      <w:r>
        <w:rPr/>
        <w:t xml:space="preserve">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020</w:t>
      </w:r>
      <w:r>
        <w:rPr/>
        <w:t xml:space="preserve"> and 2019 c 299 s 3 are each amended to read as follows:</w:t>
      </w:r>
    </w:p>
    <w:p>
      <w:pPr>
        <w:spacing w:before="0" w:after="0" w:line="408" w:lineRule="exact"/>
        <w:ind w:left="0" w:right="0" w:firstLine="576"/>
        <w:jc w:val="left"/>
      </w:pPr>
      <w:r>
        <w:rPr/>
        <w:t xml:space="preserve">(1) A noncompetition covenant is void and unenforceable </w:t>
      </w:r>
      <w:r>
        <w:t>((</w:t>
      </w:r>
      <w:r>
        <w:rPr>
          <w:strike/>
        </w:rPr>
        <w:t xml:space="preserve">against an employee</w:t>
      </w:r>
      <w:r>
        <w:t>))</w:t>
      </w:r>
      <w:r>
        <w:rPr/>
        <w:t xml:space="preserve">:</w:t>
      </w:r>
    </w:p>
    <w:p>
      <w:pPr>
        <w:spacing w:before="0" w:after="0" w:line="408" w:lineRule="exact"/>
        <w:ind w:left="0" w:right="0" w:firstLine="576"/>
        <w:jc w:val="left"/>
      </w:pPr>
      <w:r>
        <w:rPr/>
        <w:t xml:space="preserve">(a)(i) Unless the employer discloses the terms of the covenant in writing to the prospective employee no later than the time of the </w:t>
      </w:r>
      <w:r>
        <w:rPr>
          <w:u w:val="single"/>
        </w:rPr>
        <w:t xml:space="preserve">initial oral or written</w:t>
      </w:r>
      <w:r>
        <w:rPr/>
        <w:t xml:space="preserv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RCW 49.62.040;</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050</w:t>
      </w:r>
      <w:r>
        <w:rPr/>
        <w:t xml:space="preserve"> and 2019 c 299 s 6 are each amended to read as follows:</w:t>
      </w:r>
    </w:p>
    <w:p>
      <w:pPr>
        <w:spacing w:before="0" w:after="0" w:line="408" w:lineRule="exact"/>
        <w:ind w:left="0" w:right="0" w:firstLine="576"/>
        <w:jc w:val="left"/>
      </w:pP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w:t>
      </w:r>
      <w:r>
        <w:t>((</w:t>
      </w:r>
      <w:r>
        <w:rPr>
          <w:strike/>
        </w:rPr>
        <w:t xml:space="preserve">and</w:t>
      </w:r>
      <w:r>
        <w:t>))</w:t>
      </w:r>
    </w:p>
    <w:p>
      <w:pPr>
        <w:spacing w:before="0" w:after="0" w:line="408" w:lineRule="exact"/>
        <w:ind w:left="0" w:right="0" w:firstLine="576"/>
        <w:jc w:val="left"/>
      </w:pPr>
      <w:r>
        <w:rPr/>
        <w:t xml:space="preserve">(2) To the extent it deprives the employee or independent contractor of the protections or benefits of this chapter</w:t>
      </w:r>
      <w:r>
        <w:rPr>
          <w:u w:val="single"/>
        </w:rPr>
        <w:t xml:space="preserve">; or</w:t>
      </w:r>
    </w:p>
    <w:p>
      <w:pPr>
        <w:spacing w:before="0" w:after="0" w:line="408" w:lineRule="exact"/>
        <w:ind w:left="0" w:right="0" w:firstLine="576"/>
        <w:jc w:val="left"/>
      </w:pPr>
      <w:r>
        <w:rPr>
          <w:u w:val="single"/>
        </w:rPr>
        <w:t xml:space="preserve">(3) If it allows or requires the application of choice of law principles or the substantive law of any jurisdiction other than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080</w:t>
      </w:r>
      <w:r>
        <w:rPr/>
        <w:t xml:space="preserve"> and 2019 c 299 s 9 are each amended to read as follows:</w:t>
      </w:r>
    </w:p>
    <w:p>
      <w:pPr>
        <w:spacing w:before="0" w:after="0" w:line="408" w:lineRule="exact"/>
        <w:ind w:left="0" w:right="0" w:firstLine="576"/>
        <w:jc w:val="left"/>
      </w:pPr>
      <w:r>
        <w:rPr/>
        <w:t xml:space="preserve">(1) Upon a violation of this chapter, the attorney general, on behalf of a person or persons, may pursue any and all relief. A person aggrieved by a noncompetition covenant </w:t>
      </w:r>
      <w:r>
        <w:t>((</w:t>
      </w:r>
      <w:r>
        <w:rPr>
          <w:strike/>
        </w:rPr>
        <w:t xml:space="preserve">to which the person is a party</w:t>
      </w:r>
      <w:r>
        <w:t>))</w:t>
      </w:r>
      <w:r>
        <w:rPr/>
        <w:t xml:space="preserve">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January 1, 2020, if the noncompetition covenant is not being enforced </w:t>
      </w:r>
      <w:r>
        <w:rPr>
          <w:u w:val="single"/>
        </w:rPr>
        <w:t xml:space="preserve">or explicitly leveraged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090</w:t>
      </w:r>
      <w:r>
        <w:rPr/>
        <w:t xml:space="preserve"> and 2019 c 299 s 10 are each amended to read as follows:</w:t>
      </w:r>
    </w:p>
    <w:p>
      <w:pPr>
        <w:spacing w:before="0" w:after="0" w:line="408" w:lineRule="exact"/>
        <w:ind w:left="0" w:right="0" w:firstLine="576"/>
        <w:jc w:val="left"/>
      </w:pPr>
      <w:r>
        <w:rPr/>
        <w:t xml:space="preserve">(1)(a) Subject to (b) of this subsection, this chapter displaces conflicting tort, restitutionary, contract, </w:t>
      </w:r>
      <w:r>
        <w:rPr>
          <w:u w:val="single"/>
        </w:rPr>
        <w:t xml:space="preserve">including contract principles relating to discharge by assent or alteration,</w:t>
      </w:r>
      <w:r>
        <w:rPr/>
        <w:t xml:space="preserve">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
      <w:pPr>
        <w:jc w:val="center"/>
      </w:pPr>
      <w:r>
        <w:rPr>
          <w:b/>
        </w:rPr>
        <w:t>--- END ---</w:t>
      </w:r>
    </w:p>
    <w:sectPr>
      <w:pgNumType w:start="1"/>
      <w:footerReference xmlns:r="http://schemas.openxmlformats.org/officeDocument/2006/relationships" r:id="Ra8d63f3758bb43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e290a9ae0147ea" /><Relationship Type="http://schemas.openxmlformats.org/officeDocument/2006/relationships/footer" Target="/word/footer1.xml" Id="Ra8d63f3758bb4386" /></Relationships>
</file>