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f33d388b245c8" /></Relationships>
</file>

<file path=word/document.xml><?xml version="1.0" encoding="utf-8"?>
<w:document xmlns:w="http://schemas.openxmlformats.org/wordprocessingml/2006/main">
  <w:body>
    <w:p>
      <w:r>
        <w:t>Z-0572.1</w:t>
      </w:r>
    </w:p>
    <w:p>
      <w:pPr>
        <w:jc w:val="center"/>
      </w:pPr>
      <w:r>
        <w:t>_______________________________________________</w:t>
      </w:r>
    </w:p>
    <w:p/>
    <w:p>
      <w:pPr>
        <w:jc w:val="center"/>
      </w:pPr>
      <w:r>
        <w:rPr>
          <w:b/>
        </w:rPr>
        <w:t>SENATE BILL 5949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Mullet and Schoesler; by request of Office of Financial Management</w:t>
      </w:r>
    </w:p>
    <w:p/>
    <w:p>
      <w:r>
        <w:rPr>
          <w:t xml:space="preserve">Prefiled 01/03/24.</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70A.65.240 and 70A.65.305; amending 2023 c 474 ss 1013, 1022, 1025, 1032, 6076, 1038, 1045, 1046, 1047, 1054, 1055, 1061, 1065, 1070, 2026, 6148, 2031, 2035, 2044, 2046, 3046, 6352, 3080, 3083, 3130, 5001, 5002, 5003, 5005, 5006, 5008, 5013, 5014, 5015, 5031, 5032, 5033, 5056, 5072, 6236, 5082, 5085, 5086, 5087, 5089, 6002, 6029, 6043, 6061, 6068, 6097, 6104, 6105, 6135, 6164, 6165, 6179, 6228, 6336, 6337, 6366, 6376, 6392, 6460, 6496, 8001, and 8002 (uncodified); reenacting and amending RCW 43.155.050; adding new sections to 2023 c 474 (uncodified); creating new sections; repealing 2023 c 474 ss 6343, 6489, and 6490 (uncodified);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OFFICE OF THE GOVERNOR</w:t>
      </w:r>
    </w:p>
    <w:p>
      <w:pPr>
        <w:spacing w:before="0" w:after="0" w:line="408" w:lineRule="exact"/>
        <w:ind w:left="0" w:right="0" w:firstLine="576"/>
        <w:jc w:val="left"/>
      </w:pPr>
      <w:r>
        <w:rPr/>
        <w:t xml:space="preserve">OCO Tenant Improvements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w:t>
      </w:r>
      <w:r>
        <w:rPr>
          <w:u w:val="single"/>
        </w:rPr>
        <w:t xml:space="preserve">and $11,390,000 of the public works assistance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w:t>
      </w:r>
      <w:r>
        <w:rPr>
          <w:u w:val="single"/>
        </w:rPr>
        <w:t xml:space="preserve">s</w:t>
      </w:r>
      <w:r>
        <w:rPr/>
        <w:t xml:space="preserve"> in this subsection </w:t>
      </w:r>
      <w:r>
        <w:t>((</w:t>
      </w:r>
      <w:r>
        <w:rPr>
          <w:strike/>
        </w:rPr>
        <w:t xml:space="preserve">is</w:t>
      </w:r>
      <w:r>
        <w:t>))</w:t>
      </w:r>
      <w:r>
        <w:rPr/>
        <w:t xml:space="preserve"> </w:t>
      </w:r>
      <w:r>
        <w:rPr>
          <w:u w:val="single"/>
        </w:rPr>
        <w:t xml:space="preserve">are</w:t>
      </w:r>
      <w:r>
        <w:rPr/>
        <w:t xml:space="preserve">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u w:val="single"/>
        </w:rPr>
        <w:t xml:space="preserve">Public Works Assistance Account</w:t>
      </w:r>
      <w:r>
        <w:rPr>
          <w:rFonts w:ascii="Times New Roman" w:hAnsi="Times New Roman"/>
          <w:u w:val="single"/>
        </w:rPr>
        <w:t xml:space="preserve">—</w:t>
      </w:r>
      <w:r>
        <w:rPr>
          <w:u w:val="single"/>
        </w:rPr>
        <w:t xml:space="preserve">State</w:t>
      </w:r>
      <w:r>
        <w:tab/>
      </w:r>
      <w:r>
        <w:rPr>
          <w:u w:val="single"/>
        </w:rPr>
        <w:t xml:space="preserve">$11,390,000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$306,950,000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$456,950,000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 (Seattle) </w:t>
      </w:r>
      <w:r>
        <w:tab/>
      </w:r>
      <w:r>
        <w:rPr/>
        <w:t xml:space="preserve">$944,000</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$250,000</w:t>
      </w:r>
    </w:p>
    <w:p>
      <w:pPr>
        <w:spacing w:before="0" w:after="0" w:line="408" w:lineRule="exact"/>
        <w:ind w:left="0" w:right="0" w:firstLine="576"/>
        <w:jc w:val="left"/>
        <w:tabs>
          <w:tab w:val="right" w:leader="dot" w:pos="9936"/>
        </w:tabs>
      </w:pPr>
      <w:r>
        <w:rPr/>
        <w:t xml:space="preserve">Asia Pacific Cultural Center - Facility (Tacoma)</w:t>
      </w:r>
      <w:r>
        <w:tab/>
      </w:r>
      <w:r>
        <w:rPr/>
        <w:t xml:space="preserve">$2,000,000</w:t>
      </w:r>
    </w:p>
    <w:p>
      <w:pPr>
        <w:spacing w:before="0" w:after="0" w:line="408" w:lineRule="exact"/>
        <w:ind w:left="0" w:right="0" w:firstLine="576"/>
        <w:jc w:val="left"/>
        <w:tabs>
          <w:tab w:val="right" w:leader="dot" w:pos="9936"/>
        </w:tabs>
      </w:pPr>
      <w:r>
        <w:rPr/>
        <w:t xml:space="preserve">Bryant Manor Redevelopment - Phase II (Seattle)</w:t>
      </w:r>
      <w:r>
        <w:tab/>
      </w:r>
      <w:r>
        <w:rPr/>
        <w:t xml:space="preserve">$250,000</w:t>
      </w:r>
    </w:p>
    <w:p>
      <w:pPr>
        <w:spacing w:before="0" w:after="0" w:line="408" w:lineRule="exact"/>
        <w:ind w:left="0" w:right="0" w:firstLine="576"/>
        <w:jc w:val="left"/>
        <w:tabs>
          <w:tab w:val="right" w:leader="dot" w:pos="9936"/>
        </w:tabs>
      </w:pPr>
      <w:r>
        <w:rPr/>
        <w:t xml:space="preserve">FHPM Childcare Project (Bremerton)</w:t>
      </w:r>
      <w:r>
        <w:tab/>
      </w:r>
      <w:r>
        <w:rPr/>
        <w:t xml:space="preserve">$200,000</w:t>
      </w:r>
    </w:p>
    <w:p>
      <w:pPr>
        <w:spacing w:before="0" w:after="0" w:line="408" w:lineRule="exact"/>
        <w:ind w:left="0" w:right="0" w:firstLine="576"/>
        <w:jc w:val="left"/>
        <w:tabs>
          <w:tab w:val="right" w:leader="dot" w:pos="9936"/>
        </w:tabs>
      </w:pPr>
      <w:r>
        <w:rPr/>
        <w:t xml:space="preserve">FHPM Kitsap Way Village (Bremerton)</w:t>
      </w:r>
      <w:r>
        <w:tab/>
      </w:r>
      <w:r>
        <w:rPr/>
        <w:t xml:space="preserve">$200,000</w:t>
      </w:r>
    </w:p>
    <w:p>
      <w:pPr>
        <w:spacing w:before="0" w:after="0" w:line="408" w:lineRule="exact"/>
        <w:ind w:left="0" w:right="0" w:firstLine="576"/>
        <w:jc w:val="left"/>
        <w:tabs>
          <w:tab w:val="right" w:leader="dot" w:pos="9936"/>
        </w:tabs>
      </w:pPr>
      <w:r>
        <w:rPr/>
        <w:t xml:space="preserve">Monterey Lofts Renovation - Phase 2 (Seattle)</w:t>
      </w:r>
      <w:r>
        <w:tab/>
      </w:r>
      <w:r>
        <w:rPr/>
        <w:t xml:space="preserve">$987,000</w:t>
      </w:r>
    </w:p>
    <w:p>
      <w:pPr>
        <w:spacing w:before="0" w:after="0" w:line="408" w:lineRule="exact"/>
        <w:ind w:left="0" w:right="0" w:firstLine="576"/>
        <w:jc w:val="left"/>
        <w:tabs>
          <w:tab w:val="right" w:leader="dot" w:pos="9936"/>
        </w:tabs>
      </w:pPr>
      <w:r>
        <w:rPr/>
        <w:t xml:space="preserve">Nuwe Reis Village at Barker Creek (Bremerton)</w:t>
      </w:r>
      <w:r>
        <w:tab/>
      </w:r>
      <w:r>
        <w:rPr/>
        <w:t xml:space="preserve">$2,953,000</w:t>
      </w:r>
    </w:p>
    <w:p>
      <w:pPr>
        <w:spacing w:before="0" w:after="0" w:line="408" w:lineRule="exact"/>
        <w:ind w:left="0" w:right="0" w:firstLine="576"/>
        <w:jc w:val="left"/>
        <w:tabs>
          <w:tab w:val="right" w:leader="dot" w:pos="9936"/>
        </w:tabs>
      </w:pPr>
      <w:r>
        <w:rPr/>
        <w:t xml:space="preserve">Plaza Intramuros Housing Project (Lynnwood)</w:t>
      </w:r>
      <w:r>
        <w:tab/>
      </w:r>
      <w:r>
        <w:rPr/>
        <w:t xml:space="preserve">$500,000</w:t>
      </w:r>
    </w:p>
    <w:p>
      <w:pPr>
        <w:spacing w:before="0" w:after="0" w:line="408" w:lineRule="exact"/>
        <w:ind w:left="0" w:right="0" w:firstLine="576"/>
        <w:jc w:val="left"/>
        <w:tabs>
          <w:tab w:val="right" w:leader="dot" w:pos="9936"/>
        </w:tabs>
      </w:pPr>
      <w:r>
        <w:rPr/>
        <w:t xml:space="preserve">PRWA Infrastructure Improvement Project (Rosalia)</w:t>
      </w:r>
      <w:r>
        <w:tab/>
      </w:r>
      <w:r>
        <w:rPr/>
        <w:t xml:space="preserve">$267,000</w:t>
      </w:r>
    </w:p>
    <w:p>
      <w:pPr>
        <w:spacing w:before="0" w:after="0" w:line="408" w:lineRule="exact"/>
        <w:ind w:left="0" w:right="0" w:firstLine="576"/>
        <w:jc w:val="left"/>
        <w:tabs>
          <w:tab w:val="right" w:leader="dot" w:pos="9936"/>
        </w:tabs>
      </w:pPr>
      <w:r>
        <w:rPr/>
        <w:t xml:space="preserve">Rainier Valley Homeownership Initiative (Seattle)</w:t>
      </w:r>
      <w:r>
        <w:tab/>
      </w:r>
      <w:r>
        <w:rPr/>
        <w:t xml:space="preserve">$500,000</w:t>
      </w:r>
    </w:p>
    <w:p>
      <w:pPr>
        <w:spacing w:before="0" w:after="0" w:line="408" w:lineRule="exact"/>
        <w:ind w:left="0" w:right="0" w:firstLine="576"/>
        <w:jc w:val="left"/>
        <w:tabs>
          <w:tab w:val="right" w:leader="dot" w:pos="9936"/>
        </w:tabs>
      </w:pPr>
      <w:r>
        <w:rPr/>
        <w:t xml:space="preserve">Seattle Indian Services Commission (Seattle)</w:t>
      </w:r>
      <w:r>
        <w:tab/>
      </w:r>
      <w:r>
        <w:rPr/>
        <w:t xml:space="preserve">$300,000</w:t>
      </w:r>
    </w:p>
    <w:p>
      <w:pPr>
        <w:spacing w:before="0" w:after="0" w:line="408" w:lineRule="exact"/>
        <w:ind w:left="0" w:right="0" w:firstLine="576"/>
        <w:jc w:val="left"/>
        <w:tabs>
          <w:tab w:val="right" w:leader="dot" w:pos="9936"/>
        </w:tabs>
      </w:pPr>
      <w:r>
        <w:rPr/>
        <w:t xml:space="preserve">Seattle Tibetan Community Center (Seattle)</w:t>
      </w:r>
      <w:r>
        <w:tab/>
      </w:r>
      <w:r>
        <w:rPr/>
        <w:t xml:space="preserve">$1,022,000</w:t>
      </w:r>
    </w:p>
    <w:p>
      <w:pPr>
        <w:spacing w:before="0" w:after="0" w:line="408" w:lineRule="exact"/>
        <w:ind w:left="0" w:right="0" w:firstLine="576"/>
        <w:jc w:val="left"/>
        <w:tabs>
          <w:tab w:val="right" w:leader="dot" w:pos="9936"/>
        </w:tabs>
      </w:pPr>
      <w:r>
        <w:rPr/>
        <w:t xml:space="preserve">United Indians All Tribes Foundation (Seattle)</w:t>
      </w:r>
      <w:r>
        <w:tab/>
      </w:r>
      <w:r>
        <w:rPr/>
        <w:t xml:space="preserve">$56,000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Catalytic Funds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eligible entities that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(2)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(3)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(4)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(5) Except for match funds allocated in subsection (7) of this section,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(a)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(b) Ensure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(6)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(7) $80,000,000 of the appropriation in this section is provided solely for grants to be used as state match for competitive federal funding and for formula grants that require state match. To the extent practicable, the department shall prioritize grants that provide benefit to vulnerable populations in overburdened communities, with a goal of directing at least 20 percent of funds to this purpose.</w:t>
      </w:r>
    </w:p>
    <w:p>
      <w:pPr>
        <w:spacing w:before="0" w:after="0" w:line="408" w:lineRule="exact"/>
        <w:ind w:left="0" w:right="0" w:firstLine="576"/>
        <w:jc w:val="left"/>
      </w:pPr>
      <w:r>
        <w:rPr/>
        <w:t xml:space="preserve">(8) $50,000,000 of the appropriation in this section is provided solely for grants to projects that demonstrate high-wage, clean job creation in Washington, provide risk reduction for investments in public and private infrastructure to enhance industrial lands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(9) $6,500,000 of the appropriation in this section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0" w:after="0" w:line="408" w:lineRule="exact"/>
        <w:ind w:left="0" w:right="0" w:firstLine="576"/>
        <w:jc w:val="left"/>
      </w:pPr>
      <w:r>
        <w:rPr/>
        <w:t xml:space="preserve">(10) The department must strive to allocate all of the amounts appropriated in this section within the 2023-2025 fiscal biennium in the manner prescribed in each subsection. However, no sooner than January 1, 2025, if upon review of applications the department determines there are not adequate suitable projects in a category, the department may reallocate funding among the purposes of subsections (7) and (8) of this section. Beginning January 1, 2025, the department must provide quarterly notice of any funding reallocations to the governor and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$136,500,000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Decarbonization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(2)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(3) Up to five percent of the appropriation in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Pacific Tower Capital Improvements FY24 Supplemental (40000610)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$5,420,000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Rapid Capital Acquisition (40000612)</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$80,000,000 of the appropriation in this section is provided solely for eligible organizations defined under RCW 43.185A.040 to acquire, renovate, and prepare real property for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w:t>
      </w:r>
    </w:p>
    <w:p>
      <w:pPr>
        <w:spacing w:before="0" w:after="0" w:line="408" w:lineRule="exact"/>
        <w:ind w:left="0" w:right="0" w:firstLine="576"/>
        <w:jc w:val="left"/>
      </w:pPr>
      <w:r>
        <w:rPr/>
        <w:t xml:space="preserve">(a) Acquisition of multifamily housing is a priority, and the department shall prioritize housing projects that rapidly move people experiencing unsheltered homelessness into housing, including, but not limited to, individuals living in unsanctioned encampments, the public rights-of-way, or other public spaces.</w:t>
      </w:r>
    </w:p>
    <w:p>
      <w:pPr>
        <w:spacing w:before="0" w:after="0" w:line="408" w:lineRule="exact"/>
        <w:ind w:left="0" w:right="0" w:firstLine="576"/>
        <w:jc w:val="left"/>
      </w:pPr>
      <w:r>
        <w:rPr/>
        <w:t xml:space="preserve">(b) Amounts provided in this section may not be used for operating or maintenance costs, supportive services, or debt service.</w:t>
      </w:r>
    </w:p>
    <w:p>
      <w:pPr>
        <w:spacing w:before="0" w:after="0" w:line="408" w:lineRule="exact"/>
        <w:ind w:left="0" w:right="0" w:firstLine="576"/>
        <w:jc w:val="left"/>
      </w:pPr>
      <w:r>
        <w:rPr/>
        <w:t xml:space="preserve">(2) $5,000,000 of the appropriation in this section is provided solely for acquiring, building, site improvements, and installing transitional tiny homes or similar housing. Awards may be made to noncode compliant structures and may be exempted from the 40-year affordability requirement under RCW 43.185A.060.</w:t>
      </w:r>
    </w:p>
    <w:p>
      <w:pPr>
        <w:spacing w:before="0" w:after="0" w:line="408" w:lineRule="exact"/>
        <w:ind w:left="0" w:right="0" w:firstLine="576"/>
        <w:jc w:val="left"/>
      </w:pPr>
      <w:r>
        <w:rPr/>
        <w:t xml:space="preserve">(3) $15,000,000 of the appropriation in this section is provided solely for acquisition of manufactured homes for the purpose of preserving and creating new manufactured and mobile home communities. The department must contract with the northwest cooperative development center—resident owned communities to preserve mobile home communities as nonprofits or coop run affordable housing projects that benefit households at or below 80 percent of the area median income. The department, in collaboration with the contractor, must submit an interim report to the governor and the legislature by June 30, 2025, on the number of mobile home parks purchased and the demographics of the residents. </w:t>
      </w:r>
    </w:p>
    <w:p>
      <w:pPr>
        <w:spacing w:before="0" w:after="0" w:line="408" w:lineRule="exact"/>
        <w:ind w:left="0" w:right="0" w:firstLine="576"/>
        <w:jc w:val="left"/>
      </w:pPr>
      <w:r>
        <w:rPr/>
        <w:t xml:space="preserve">(4) When selecting housing projects funded in this section,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 </w:t>
      </w:r>
    </w:p>
    <w:p>
      <w:pPr>
        <w:spacing w:before="0" w:after="0" w:line="408" w:lineRule="exact"/>
        <w:ind w:left="0" w:right="0" w:firstLine="576"/>
        <w:jc w:val="left"/>
      </w:pPr>
      <w:r>
        <w:rPr/>
        <w:t xml:space="preserve">(5) If the department finds a recipient to be out of compliance with the provisions of the contract, the recipient shall repay to the state general fund the principal amount of the award plus interest calculated at the rate of interest on state of Washington general obligation bonds issued on the date closest to the date of authorization of the award.</w:t>
      </w:r>
    </w:p>
    <w:p>
      <w:pPr>
        <w:spacing w:before="0" w:after="0" w:line="408" w:lineRule="exact"/>
        <w:ind w:left="0" w:right="0" w:firstLine="576"/>
        <w:jc w:val="left"/>
      </w:pPr>
      <w:r>
        <w:rPr/>
        <w:t xml:space="preserve">(6) The funding provided under this section is not subject to the 60-day application periods in RCW 43.185A.050.</w:t>
      </w:r>
    </w:p>
    <w:p>
      <w:pPr>
        <w:spacing w:before="0" w:after="0" w:line="408" w:lineRule="exact"/>
        <w:ind w:left="0" w:right="0" w:firstLine="576"/>
        <w:jc w:val="left"/>
      </w:pPr>
      <w:r>
        <w:rPr/>
        <w:t xml:space="preserve">(7)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reallocate funding among the purposes of the other subsections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Broadband Equity and Affordability Grants (40000613)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statewide broadband office to administer the broadband equity, access, and deployment state grants program in section 60304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2026 FIFA World Cup (Seattle)</w:t>
      </w:r>
      <w:r>
        <w:tab/>
      </w:r>
      <w:r>
        <w:rPr/>
        <w:t xml:space="preserve">$10,000,000</w:t>
      </w:r>
    </w:p>
    <w:p>
      <w:pPr>
        <w:spacing w:before="0" w:after="0" w:line="408" w:lineRule="exact"/>
        <w:ind w:left="0" w:right="0" w:firstLine="576"/>
        <w:jc w:val="left"/>
      </w:pPr>
      <w:r>
        <w:rPr/>
        <w:t xml:space="preserve">Algae Carbon Sequestration and Regenerative Soils</w:t>
      </w:r>
    </w:p>
    <w:p>
      <w:pPr>
        <w:spacing w:before="0" w:after="0" w:line="408" w:lineRule="exact"/>
        <w:ind w:left="0" w:right="0" w:firstLine="1152"/>
        <w:jc w:val="left"/>
        <w:tabs>
          <w:tab w:val="right" w:leader="dot" w:pos="9936"/>
        </w:tabs>
      </w:pPr>
      <w:r>
        <w:rPr/>
        <w:t xml:space="preserve">(Statewide)</w:t>
      </w:r>
      <w:r>
        <w:tab/>
      </w:r>
      <w:r>
        <w:rPr/>
        <w:t xml:space="preserve">$2,500,000</w:t>
      </w:r>
    </w:p>
    <w:p>
      <w:pPr>
        <w:spacing w:before="0" w:after="0" w:line="408" w:lineRule="exact"/>
        <w:ind w:left="0" w:right="0" w:firstLine="576"/>
        <w:jc w:val="left"/>
        <w:tabs>
          <w:tab w:val="right" w:leader="dot" w:pos="9936"/>
        </w:tabs>
      </w:pPr>
      <w:r>
        <w:rPr/>
        <w:t xml:space="preserve">Goodwill Land Acquisition for Redevelopment (Seattle)</w:t>
      </w:r>
      <w:r>
        <w:tab/>
      </w:r>
      <w:r>
        <w:rPr/>
        <w:t xml:space="preserve">$3,000,000</w:t>
      </w:r>
    </w:p>
    <w:p>
      <w:pPr>
        <w:spacing w:before="0" w:after="0" w:line="408" w:lineRule="exact"/>
        <w:ind w:left="0" w:right="0" w:firstLine="576"/>
        <w:jc w:val="left"/>
        <w:tabs>
          <w:tab w:val="right" w:leader="dot" w:pos="9936"/>
        </w:tabs>
      </w:pPr>
      <w:r>
        <w:rPr/>
        <w:t xml:space="preserve">Habitat for Humanity (Seattle) </w:t>
      </w:r>
      <w:r>
        <w:tab/>
      </w:r>
      <w:r>
        <w:rPr/>
        <w:t xml:space="preserve">$2,000,000</w:t>
      </w:r>
    </w:p>
    <w:p>
      <w:pPr>
        <w:spacing w:before="0" w:after="0" w:line="408" w:lineRule="exact"/>
        <w:ind w:left="0" w:right="0" w:firstLine="576"/>
        <w:jc w:val="left"/>
        <w:tabs>
          <w:tab w:val="right" w:leader="dot" w:pos="9936"/>
        </w:tabs>
      </w:pPr>
      <w:r>
        <w:rPr/>
        <w:t xml:space="preserve">Open Doors for Multicultural Families (Kent)</w:t>
      </w:r>
      <w:r>
        <w:tab/>
      </w:r>
      <w:r>
        <w:rPr/>
        <w:t xml:space="preserve">$5,000,000</w:t>
      </w:r>
    </w:p>
    <w:p>
      <w:pPr>
        <w:spacing w:before="0" w:after="0" w:line="408" w:lineRule="exact"/>
        <w:ind w:left="0" w:right="0" w:firstLine="576"/>
        <w:jc w:val="left"/>
        <w:tabs>
          <w:tab w:val="right" w:leader="dot" w:pos="9936"/>
        </w:tabs>
      </w:pPr>
      <w:r>
        <w:rPr/>
        <w:t xml:space="preserve">Opioid Recovery and Care Access (Seattle)</w:t>
      </w:r>
      <w:r>
        <w:tab/>
      </w:r>
      <w:r>
        <w:rPr/>
        <w:t xml:space="preserve">$3,500,000</w:t>
      </w:r>
    </w:p>
    <w:p>
      <w:pPr>
        <w:spacing w:before="0" w:after="0" w:line="408" w:lineRule="exact"/>
        <w:ind w:left="0" w:right="0" w:firstLine="576"/>
        <w:jc w:val="left"/>
        <w:tabs>
          <w:tab w:val="right" w:leader="dot" w:pos="9936"/>
        </w:tabs>
      </w:pPr>
      <w:r>
        <w:rPr/>
        <w:t xml:space="preserve">Prototype Electric Hydrofoil Ferry and Shoreside Infrastructure (Statewide)</w:t>
      </w:r>
      <w:r>
        <w:tab/>
      </w:r>
      <w:r>
        <w:rPr/>
        <w:t xml:space="preserve">$2,000,000</w:t>
      </w:r>
    </w:p>
    <w:p>
      <w:pPr>
        <w:spacing w:before="0" w:after="0" w:line="408" w:lineRule="exact"/>
        <w:ind w:left="0" w:right="0" w:firstLine="576"/>
        <w:jc w:val="left"/>
        <w:tabs>
          <w:tab w:val="right" w:leader="dot" w:pos="9936"/>
        </w:tabs>
      </w:pPr>
      <w:r>
        <w:rPr/>
        <w:t xml:space="preserve">Seattle Storm Center (Seattle)</w:t>
      </w:r>
      <w:r>
        <w:tab/>
      </w:r>
      <w:r>
        <w:rPr/>
        <w:t xml:space="preserve">$1,000,000</w:t>
      </w:r>
    </w:p>
    <w:p>
      <w:pPr>
        <w:spacing w:before="0" w:after="0" w:line="408" w:lineRule="exact"/>
        <w:ind w:left="0" w:right="0" w:firstLine="576"/>
        <w:jc w:val="left"/>
        <w:tabs>
          <w:tab w:val="right" w:leader="dot" w:pos="9936"/>
        </w:tabs>
      </w:pPr>
      <w:r>
        <w:rPr/>
        <w:t xml:space="preserve">Tristate Health Hospital (Clarkston)</w:t>
      </w:r>
      <w:r>
        <w:tab/>
      </w:r>
      <w:r>
        <w:rPr/>
        <w:t xml:space="preserve">$3,000,000</w:t>
      </w:r>
    </w:p>
    <w:p>
      <w:pPr>
        <w:spacing w:before="0" w:after="0" w:line="408" w:lineRule="exact"/>
        <w:ind w:left="0" w:right="0" w:firstLine="576"/>
        <w:jc w:val="left"/>
      </w:pPr>
      <w:r>
        <w:rPr/>
        <w:t xml:space="preserve">(9) $3,250,000 of the natural climate solutions account—state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Carbon Sequestration Prairie Restoration (Tumwater)</w:t>
      </w:r>
      <w:r>
        <w:tab/>
      </w:r>
      <w:r>
        <w:rPr/>
        <w:t xml:space="preserve">$2,000,000</w:t>
      </w:r>
    </w:p>
    <w:p>
      <w:pPr>
        <w:spacing w:before="0" w:after="0" w:line="408" w:lineRule="exact"/>
        <w:ind w:left="0" w:right="0" w:firstLine="576"/>
        <w:jc w:val="left"/>
        <w:tabs>
          <w:tab w:val="right" w:leader="dot" w:pos="9936"/>
        </w:tabs>
      </w:pPr>
      <w:r>
        <w:rPr/>
        <w:t xml:space="preserve">Silver Bay Logging Property Acquisition (Seattle)</w:t>
      </w:r>
      <w:r>
        <w:tab/>
      </w:r>
      <w:r>
        <w:rPr/>
        <w:t xml:space="preserve">$1,250,000</w:t>
      </w:r>
    </w:p>
    <w:p>
      <w:pPr>
        <w:spacing w:before="0" w:after="0" w:line="408" w:lineRule="exact"/>
        <w:ind w:left="0" w:right="0" w:firstLine="576"/>
        <w:jc w:val="left"/>
      </w:pPr>
      <w:r>
        <w:rPr/>
        <w:t xml:space="preserve">(10) $4,000,000 of the climate commitment account—state appropriation in this section is provided solely for the Nisqually Indian Tribe microgrid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$3,250,000</w:t>
      </w:r>
    </w:p>
    <w:p>
      <w:pPr>
        <w:tabs>
          <w:tab w:val="right" w:leader="dot" w:pos="9936"/>
        </w:tabs>
        <w:ind w:left="0" w:right="0" w:firstLine="1440"/>
      </w:pPr>
      <w:r>
        <w:rPr/>
        <w:t xml:space="preserve">Subtotal Appropriation</w:t>
      </w:r>
      <w:r>
        <w:tab/>
      </w:r>
      <w:r>
        <w:rPr/>
        <w:t xml:space="preserve">$39,250,000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Housing for People with Intellectual &amp; Developmental Disabilities (40000615)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 </w:t>
      </w:r>
    </w:p>
    <w:p>
      <w:pPr>
        <w:spacing w:before="0" w:after="0" w:line="408" w:lineRule="exact"/>
        <w:ind w:left="0" w:right="0" w:firstLine="576"/>
        <w:jc w:val="left"/>
      </w:pPr>
      <w:r>
        <w:rPr/>
        <w:t xml:space="preserve">(2) For the purposes of this subsection "community buildings" means K-12 schools, community colleges, community centers, recreation centers, libraries, tribal buildings, state and local government buildings, and other publicly owned infrastructure.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a grant program to provide solar and battery storage community solar projects for public assistance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(2)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Opioid Treatment Facility Pool (40000623)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facility acquisition by a state agency for treatment of opioid use disorder. Prior to a purchase, sale bid or offer, the department shall consult with the office of financial management for review and approval of the project and transfer of the property.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Opioid Treatment Expansion Grants (40000626)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community providers to increase opioid treatment program services and access. Consideration must be given to programs that increase access to medication assisted opioid use disorder treatment, including methadone, to populations that are disproportionately impacted or in parts of the state with limited access to those treatment modalities.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Broadband Subgrantees Technical Assistance (40000628)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 </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w:t>
      </w:r>
    </w:p>
    <w:p>
      <w:pPr>
        <w:spacing w:before="0" w:after="0" w:line="408" w:lineRule="exact"/>
        <w:ind w:left="0" w:right="0" w:firstLine="576"/>
        <w:jc w:val="left"/>
      </w:pPr>
      <w:r>
        <w:rPr/>
        <w:t xml:space="preserve">(b) Produce at least 100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t>((</w:t>
      </w:r>
      <w:r>
        <w:rPr>
          <w:strike/>
        </w:rPr>
        <w:t xml:space="preserve">$1,860,000</w:t>
      </w:r>
      <w:r>
        <w:t>))</w:t>
      </w:r>
      <w:r>
        <w:rPr/>
        <w:t xml:space="preserve"> </w:t>
      </w:r>
      <w:r>
        <w:rPr>
          <w:u w:val="single"/>
        </w:rPr>
        <w:t xml:space="preserve">$3,720,000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$35,810,000</w:t>
      </w:r>
      <w:r>
        <w:t>))</w:t>
      </w:r>
    </w:p>
    <w:p>
      <w:pPr>
        <w:spacing w:before="0" w:after="0" w:line="408" w:lineRule="exact"/>
        <w:ind w:left="0" w:right="0" w:firstLine="0"/>
        <w:jc w:val="left"/>
        <w:tabs>
          <w:tab w:val="right" w:leader="none" w:pos="9936"/>
        </w:tabs>
      </w:pP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$48,800,000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$86,470,000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r>
        <w:rPr>
          <w:u w:val="single"/>
        </w:rPr>
        <w:t xml:space="preserve">, except that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rPr/>
        <w:t xml:space="preserve">$24,360,000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Mansion – Exec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$23,951,000</w:t>
      </w:r>
      <w:r>
        <w:t>))</w:t>
      </w:r>
    </w:p>
    <w:p>
      <w:pPr>
        <w:spacing w:before="0" w:after="0" w:line="408" w:lineRule="exact"/>
        <w:ind w:left="0" w:right="0" w:firstLine="0"/>
        <w:jc w:val="left"/>
        <w:tabs>
          <w:tab w:val="right" w:leader="none" w:pos="9936"/>
        </w:tabs>
      </w:pPr>
      <w:r>
        <w:tab/>
      </w:r>
      <w:r>
        <w:rPr>
          <w:u w:val="single"/>
        </w:rPr>
        <w:t xml:space="preserve">$28,258,000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$95,804,000</w:t>
      </w:r>
    </w:p>
    <w:p>
      <w:pPr>
        <w:tabs>
          <w:tab w:val="right" w:leader="dot" w:pos="9936"/>
        </w:tabs>
        <w:ind w:left="0" w:right="0" w:firstLine="1440"/>
      </w:pPr>
      <w:r>
        <w:rPr/>
        <w:t xml:space="preserve">TOTAL</w:t>
      </w:r>
      <w:r>
        <w:tab/>
      </w:r>
      <w:r>
        <w:t>((</w:t>
      </w:r>
      <w:r>
        <w:rPr>
          <w:strike/>
        </w:rPr>
        <w:t xml:space="preserve">$119,755,000</w:t>
      </w:r>
      <w:r>
        <w:t>))</w:t>
      </w:r>
    </w:p>
    <w:p>
      <w:pPr>
        <w:tabs>
          <w:tab w:val="right" w:leader="none" w:pos="9936"/>
        </w:tabs>
        <w:ind w:left="0" w:right="0" w:firstLine="1440"/>
      </w:pPr>
      <w:r>
        <w:tab/>
      </w:r>
      <w:r>
        <w:rPr>
          <w:u w:val="single"/>
        </w:rPr>
        <w:t xml:space="preserve">$124,062,000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$3,673,000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$11,673,000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t>((</w:t>
      </w:r>
      <w:r>
        <w:rPr>
          <w:strike/>
        </w:rPr>
        <w:t xml:space="preserve">The appropriations in this section are subject to the following conditions and limitations:</w:t>
      </w:r>
    </w:p>
    <w:p>
      <w:pPr>
        <w:spacing w:before="0" w:after="0" w:line="408" w:lineRule="exact"/>
        <w:ind w:left="0" w:right="0" w:firstLine="576"/>
        <w:jc w:val="left"/>
      </w:pPr>
      <w:r>
        <w:rPr>
          <w:strike/>
        </w:rPr>
        <w:t xml:space="preserve">(1) $2,200,000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$5,579,000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$12,329,000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$24,851,000</w:t>
      </w:r>
      <w:r>
        <w:rPr/>
        <w:t xml:space="preserve">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$87,000,000 of the amount provided in this section is provided solely for the rehabilitation, design, and construction of the Pritchard building and the renovation of the John L. O'Brien building subproject. The legislature intends to provide funding in the amount of $136,504,000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$4,865,000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0" w:after="0" w:line="408" w:lineRule="exact"/>
        <w:ind w:left="0" w:right="0" w:firstLine="576"/>
        <w:jc w:val="left"/>
      </w:pPr>
      <w:r>
        <w:rPr>
          <w:u w:val="single"/>
        </w:rPr>
        <w:t xml:space="preserve">(8) $500,000 of the model toxics control capital account</w:t>
      </w:r>
      <w:r>
        <w:rPr>
          <w:rFonts w:ascii="Times New Roman" w:hAnsi="Times New Roman"/>
          <w:u w:val="single"/>
        </w:rPr>
        <w:t xml:space="preserve">—</w:t>
      </w:r>
      <w:r>
        <w:rPr>
          <w:u w:val="single"/>
        </w:rPr>
        <w:t xml:space="preserve">state appropriation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$116,716,000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$500,000</w:t>
      </w:r>
    </w:p>
    <w:p>
      <w:pPr>
        <w:tabs>
          <w:tab w:val="right" w:leader="dot" w:pos="9936"/>
        </w:tabs>
        <w:ind w:left="0" w:right="0" w:firstLine="1440"/>
      </w:pPr>
      <w:r>
        <w:rPr>
          <w:u w:val="single"/>
        </w:rPr>
        <w:t xml:space="preserve">Subtotal Appropriation</w:t>
      </w:r>
      <w:r>
        <w:tab/>
      </w:r>
      <w:r>
        <w:rPr>
          <w:u w:val="single"/>
        </w:rPr>
        <w:t xml:space="preserve">$117,216,000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$256,656,000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t>((</w:t>
      </w:r>
      <w:r>
        <w:rPr>
          <w:strike/>
        </w:rPr>
        <w:t xml:space="preserve">Military Department Capital Account</w:t>
      </w:r>
      <w:r>
        <w:rPr>
          <w:rFonts w:ascii="Times New Roman" w:hAnsi="Times New Roman"/>
          <w:strike/>
        </w:rPr>
        <w:t xml:space="preserve">—</w:t>
      </w: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School-Laundry: Commercial Washing Machines Replacement (40000971)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6148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strike/>
          <w:u w:val="single"/>
        </w:rPr>
        <w:t xml:space="preserve">—</w:t>
      </w:r>
      <w:r>
        <w:rPr>
          <w:u w:val="single"/>
        </w:rPr>
        <w:t xml:space="preserve">State</w:t>
      </w:r>
      <w:r>
        <w:tab/>
      </w:r>
      <w:r>
        <w:rPr>
          <w:u w:val="single"/>
        </w:rPr>
        <w:t xml:space="preserve">$5,061,000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$31,849,000</w:t>
      </w:r>
    </w:p>
    <w:p>
      <w:pPr>
        <w:tabs>
          <w:tab w:val="right" w:leader="dot" w:pos="9936"/>
        </w:tabs>
        <w:ind w:left="0" w:right="0" w:firstLine="1440"/>
      </w:pPr>
      <w:r>
        <w:rPr/>
        <w:t xml:space="preserve">TOTAL</w:t>
      </w:r>
      <w:r>
        <w:tab/>
      </w:r>
      <w:r>
        <w:t>((</w:t>
      </w:r>
      <w:r>
        <w:rPr>
          <w:strike/>
        </w:rPr>
        <w:t xml:space="preserve">$350,000</w:t>
      </w:r>
      <w:r>
        <w:t>))</w:t>
      </w:r>
    </w:p>
    <w:p>
      <w:pPr>
        <w:tabs>
          <w:tab w:val="right" w:leader="none" w:pos="9936"/>
        </w:tabs>
        <w:ind w:left="0" w:right="0" w:firstLine="1440"/>
      </w:pPr>
      <w:r>
        <w:tab/>
      </w:r>
      <w:r>
        <w:rPr>
          <w:u w:val="single"/>
        </w:rPr>
        <w:t xml:space="preserve">$37,260,000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$2,214,000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$1,507,000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Security Upgrades (40000583)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$3,744,000</w:t>
      </w:r>
    </w:p>
    <w:p>
      <w:pPr>
        <w:tabs>
          <w:tab w:val="right" w:leader="dot" w:pos="9936"/>
        </w:tabs>
        <w:ind w:left="0" w:right="0" w:firstLine="1440"/>
      </w:pPr>
      <w:r>
        <w:rPr/>
        <w:t xml:space="preserve">TOTAL</w:t>
      </w:r>
      <w:r>
        <w:tab/>
      </w:r>
      <w:r>
        <w:rPr/>
        <w:t xml:space="preserve">$4,344,000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CBPS: 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Tent Replacement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Electric School Bus Program (40000620)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provide grants to transition from diesel school buses and other student transport vehicles to zero emission vehicles and for the necessary fueling infrastructure needed for zero emission student transportation. The department must prioritize school districts serving tribes and vulnerable populations in overburdened communities as defined under RCW 70A.02.010.</w:t>
      </w:r>
    </w:p>
    <w:p>
      <w:pPr>
        <w:spacing w:before="0" w:after="0" w:line="408" w:lineRule="exact"/>
        <w:ind w:left="0" w:right="0" w:firstLine="576"/>
        <w:jc w:val="left"/>
      </w:pPr>
      <w:r>
        <w:rPr/>
        <w:t xml:space="preserve">(2) Up to $1,430,000 of the appropriation in this section is for technical assistance and grant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Carbon Emissions Reduction Account</w:t>
      </w:r>
      <w:r>
        <w:rPr>
          <w:rFonts w:ascii="Times New Roman" w:hAnsi="Times New Roman"/>
        </w:rPr>
        <w:t xml:space="preserve">—</w:t>
      </w:r>
      <w:r>
        <w:rPr/>
        <w:t xml:space="preserve">State</w:t>
      </w:r>
      <w:r>
        <w:tab/>
      </w:r>
      <w:r>
        <w:rPr/>
        <w:t xml:space="preserve">$31,430,000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$25,491,000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$31,132,000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$71,606,000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$196,000</w:t>
      </w:r>
      <w:r>
        <w:t>))</w:t>
      </w:r>
    </w:p>
    <w:p>
      <w:pPr>
        <w:tabs>
          <w:tab w:val="right" w:leader="none" w:pos="9936"/>
        </w:tabs>
        <w:ind w:left="0" w:right="0" w:firstLine="1440"/>
      </w:pPr>
      <w:r>
        <w:tab/>
      </w:r>
      <w:r>
        <w:rPr>
          <w:u w:val="single"/>
        </w:rPr>
        <w:t xml:space="preserve">$1,563,000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Twin Harbors South Beach Area Admin and Maint Facility (40000460)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$7,175,000</w:t>
      </w:r>
    </w:p>
    <w:p>
      <w:pPr>
        <w:tabs>
          <w:tab w:val="right" w:leader="dot" w:pos="9936"/>
        </w:tabs>
        <w:ind w:left="0" w:right="0" w:firstLine="1440"/>
      </w:pPr>
      <w:r>
        <w:rPr/>
        <w:t xml:space="preserve">TOTAL</w:t>
      </w:r>
      <w:r>
        <w:tab/>
      </w:r>
      <w:r>
        <w:rPr/>
        <w:t xml:space="preserve">$8,457,000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Salmon Recovery Funding Board Grant Program (40000515)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Community Forest Grant Program (40000516)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OFM Capital Document No. 2024-1, developed December 13,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$5,780,000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Washington Coastal Restoration and Resiliency Initiative (40000517)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 (2) of this section, the appropriation in this section is provided solely for projects approved by the legislature, as identified in OFM Capital Document No. 2024-2, developed December 13,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funding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$7,560,000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Forest Carbon Storage and Sequestration (40000523)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grants to private, tribal, and local government forest landowners to conduct forest management practices which go beyond regulatory requirements that increase sequestration and long-term carbon storage. When awarding grants, the office must prioritize programs that benefit tribes and vulnerable populations in overburdened communities as defined under RCW 70A.02.010, with a goal of directing at least 30 percent of grant funds to this purpose.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Brian Abbott Fish Barrier Removal Board (40000524)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identified in OFM Capital Document No. 2024-3, developed December 13,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$660,000.</w:t>
      </w:r>
    </w:p>
    <w:p>
      <w:pPr>
        <w:spacing w:before="0" w:after="0" w:line="408" w:lineRule="exact"/>
        <w:ind w:left="0" w:right="0" w:firstLine="576"/>
        <w:jc w:val="left"/>
      </w:pPr>
      <w:r>
        <w:rPr/>
        <w:t xml:space="preserve">(3) The department of fish and wildlife may retain up to $906,000 of the appropriation in this 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2025 Estuary and Salmon Restoration Program (40000527)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provided under subsections (2) and (3) of this section, the appropriation in this section is provided solely for projects approved by the legislature, as identified in OFM Capital Document No. 2024-4, developed December 13, 2023.</w:t>
      </w:r>
    </w:p>
    <w:p>
      <w:pPr>
        <w:spacing w:before="0" w:after="0" w:line="408" w:lineRule="exact"/>
        <w:ind w:left="0" w:right="0" w:firstLine="576"/>
        <w:jc w:val="left"/>
      </w:pPr>
      <w:r>
        <w:rPr/>
        <w:t xml:space="preserve">(2) The recreation and conservation funding board may retain a portion of the funding appropriated in this section for the administration of the grants. The portion of the funding retained for administration may not exceed $453,000.</w:t>
      </w:r>
    </w:p>
    <w:p>
      <w:pPr>
        <w:spacing w:before="0" w:after="0" w:line="408" w:lineRule="exact"/>
        <w:ind w:left="0" w:right="0" w:firstLine="576"/>
        <w:jc w:val="left"/>
      </w:pPr>
      <w:r>
        <w:rPr/>
        <w:t xml:space="preserve">(3) The department of fish and wildlife may retain a portion of the funding appropriated in this section for costs related to technical assistance and program administration. The portion of the funding retained for costs related to technical assistance and program administration may not exceed $453,000.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Upper Green River Forest Carbon Storage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September 2023 contract termination by the United States department of agriculture farm service agency, or who voluntary terminated their enrollment.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3083</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2025-2027 fiscal biennium budget request for the regional conservation partnership program state match must include the following information:</w:t>
      </w:r>
    </w:p>
    <w:p>
      <w:pPr>
        <w:spacing w:before="0" w:after="0" w:line="408" w:lineRule="exact"/>
        <w:ind w:left="0" w:right="0" w:firstLine="576"/>
        <w:jc w:val="left"/>
      </w:pPr>
      <w:r>
        <w:rPr/>
        <w:t xml:space="preserve">(a) Total project cost broken out by federal, state, and other fund sources;</w:t>
      </w:r>
    </w:p>
    <w:p>
      <w:pPr>
        <w:spacing w:before="0" w:after="0" w:line="408" w:lineRule="exact"/>
        <w:ind w:left="0" w:right="0" w:firstLine="576"/>
        <w:jc w:val="left"/>
      </w:pPr>
      <w:r>
        <w:rPr/>
        <w:t xml:space="preserve">(b) Anticipated budget by fund source by state fiscal year;</w:t>
      </w:r>
    </w:p>
    <w:p>
      <w:pPr>
        <w:spacing w:before="0" w:after="0" w:line="408" w:lineRule="exact"/>
        <w:ind w:left="0" w:right="0" w:firstLine="576"/>
        <w:jc w:val="left"/>
      </w:pPr>
      <w:r>
        <w:rPr/>
        <w:t xml:space="preserve">(c) Whether or not the commission received the project cost information from the project sponsor prior to the sponsor applying for funding from the federal government; and</w:t>
      </w:r>
    </w:p>
    <w:p>
      <w:pPr>
        <w:spacing w:before="0" w:after="0" w:line="408" w:lineRule="exact"/>
        <w:ind w:left="0" w:right="0" w:firstLine="576"/>
        <w:jc w:val="left"/>
      </w:pPr>
      <w:r>
        <w:rPr/>
        <w:t xml:space="preserve">(d) The date of when the federal award was received or is anticipated to be received.</w:t>
      </w:r>
    </w:p>
    <w:p>
      <w:pPr>
        <w:spacing w:before="0" w:after="0" w:line="408" w:lineRule="exact"/>
        <w:ind w:left="0" w:right="0" w:firstLine="576"/>
        <w:jc w:val="left"/>
      </w:pPr>
      <w:r>
        <w:rPr/>
        <w:t xml:space="preserve">(2) It is the intent of the legislature to prioritize projects that report the need for state match to the commission prior to submitting an application to the federal government. The commission must communicate this requirement and legislative intent to conservation districts and other interested applicants.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Conservation Technical Assistance (40000042)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commission to increase technical assistance to and operational capacity of conservation districts.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Statewide Hatcheries – Domestic Water Systems and Piping (40000233)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Sekiu Boat Ramp Acquisition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3130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Carbon Sequestration Forests (40000405)</w:t>
      </w:r>
    </w:p>
    <w:p>
      <w:pPr>
        <w:spacing w:before="120" w:after="0" w:line="408" w:lineRule="exact"/>
        <w:ind w:left="0" w:right="0" w:firstLine="576"/>
        <w:jc w:val="left"/>
      </w:pPr>
      <w:r>
        <w:rPr/>
        <w:t xml:space="preserve">The appropriation in this section is subject to the following conditions and limitations: $83,000,000 of the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section is also to be used to carry out additional silvicultural activities on state trust lands, to convene a stakeholder group and conduct additional analysis related to the management of forested state trust lands, and to cover department costs to implement this section. Of the amount provided in this section:</w:t>
      </w:r>
    </w:p>
    <w:p>
      <w:pPr>
        <w:spacing w:before="0" w:after="0" w:line="408" w:lineRule="exact"/>
        <w:ind w:left="0" w:right="0" w:firstLine="576"/>
        <w:jc w:val="left"/>
      </w:pPr>
      <w:r>
        <w:rPr/>
        <w:t xml:space="preserve">(1)(a) $70,000,000 of the appropriation is provided solely to purchase forestland in counties west of the crest of the Cascade mountains, all of Skamania county, and the western portion of Klickitat county. When feasible and appropriate, the department should prioritize the purchase of lands at risk of conversion to a nonforested use. Once purchased, the land must be considered as part of the land bank created in RCW 79.19.020. The property must be purchased before the transfer of any existing trust land is fully executed. The department must transfer the appropriated amount into the natural resources real property replacement account in accordance with RCW 79.17.210.</w:t>
      </w:r>
    </w:p>
    <w:p>
      <w:pPr>
        <w:spacing w:before="0" w:after="0" w:line="408" w:lineRule="exact"/>
        <w:ind w:left="0" w:right="0" w:firstLine="576"/>
        <w:jc w:val="left"/>
      </w:pPr>
      <w:r>
        <w:rPr/>
        <w:t xml:space="preserve">(b) Up to 2,000 acres of structurally complex, carbon dense forestland currently existing on state trust lands may be transferred out of trust status with, prior to the transfer, a letter of support issued to the department by the legislative authority of the county in which the forestland is located. Forestland transferred out of trust status according to this subsection (1)(b) must be replaced with lands purchased in (a) of this subsection (1). Replacement lands must be of equal value to the lands transferred. The department must prepare a preliminary identification of the acres intended to be transferred out of trust status under this subsection (1)(b) and submit it to the board of natural resources no later than December 31, 2023.</w:t>
      </w:r>
    </w:p>
    <w:p>
      <w:pPr>
        <w:spacing w:before="0" w:after="0" w:line="408" w:lineRule="exact"/>
        <w:ind w:left="0" w:right="0" w:firstLine="576"/>
        <w:jc w:val="left"/>
      </w:pPr>
      <w:r>
        <w:rPr/>
        <w:t xml:space="preserve">(c) The remainder of the new purchased land may be used as exchange land for any encumbered state forest lands in Clallam, Jefferson, Pacific, Skamania, and Wahkiakum counties. Any exchanged land under this purpose must be designated as state forest transfer land and be managed under the department's habitat conservation plan and policy for sustainable forests.</w:t>
      </w:r>
    </w:p>
    <w:p>
      <w:pPr>
        <w:spacing w:before="0" w:after="0" w:line="408" w:lineRule="exact"/>
        <w:ind w:left="0" w:right="0" w:firstLine="576"/>
        <w:jc w:val="left"/>
      </w:pPr>
      <w:r>
        <w:rPr/>
        <w:t xml:space="preserve">(d) Forested state trust lands exchanged with lands purchased under this subsection (1) may be designated by the department as natural area preserves or natural resource conservation areas without being subject to the requirements of chapter 79.70 and 79.71 RCW. The legislative authority of the county from which the real property was transferred may not request that the department distribute a percentage of the proceeds associated with the valuable materials to the legislative authority of the county from which the real property was transferred.</w:t>
      </w:r>
    </w:p>
    <w:p>
      <w:pPr>
        <w:spacing w:before="0" w:after="0" w:line="408" w:lineRule="exact"/>
        <w:ind w:left="0" w:right="0" w:firstLine="576"/>
        <w:jc w:val="left"/>
      </w:pPr>
      <w:r>
        <w:rPr/>
        <w:t xml:space="preserve">(e) By December 1, 2023, the department must submit an initial progress report to the legislature on the implementation of this subsection (1).</w:t>
      </w:r>
    </w:p>
    <w:p>
      <w:pPr>
        <w:spacing w:before="0" w:after="0" w:line="408" w:lineRule="exact"/>
        <w:ind w:left="0" w:right="0" w:firstLine="576"/>
        <w:jc w:val="left"/>
      </w:pPr>
      <w:r>
        <w:rPr/>
        <w:t xml:space="preserve">(2) $10,000,000 of the appropriation is provided solely for the department to enhance forest stand growth on managed trust lands in western Washington, employing silviculture to increase growth and vigor of the trees for healthy, resilient forests.</w:t>
      </w:r>
    </w:p>
    <w:p>
      <w:pPr>
        <w:spacing w:before="0" w:after="0" w:line="408" w:lineRule="exact"/>
        <w:ind w:left="0" w:right="0" w:firstLine="576"/>
        <w:jc w:val="left"/>
      </w:pPr>
      <w:r>
        <w:rPr/>
        <w:t xml:space="preserve">(3) $2,500,000 of the appropriation is provided solely for the department to:</w:t>
      </w:r>
    </w:p>
    <w:p>
      <w:pPr>
        <w:spacing w:before="0" w:after="0" w:line="408" w:lineRule="exact"/>
        <w:ind w:left="0" w:right="0" w:firstLine="576"/>
        <w:jc w:val="left"/>
      </w:pPr>
      <w:r>
        <w:rPr/>
        <w:t xml:space="preserve">(a) Contract with an independent facilitator to convene a stakeholder group comprised of a balanced representation of relevant stakeholders and tribal interests to:</w:t>
      </w:r>
    </w:p>
    <w:p>
      <w:pPr>
        <w:spacing w:before="0" w:after="0" w:line="408" w:lineRule="exact"/>
        <w:ind w:left="0" w:right="0" w:firstLine="576"/>
        <w:jc w:val="left"/>
      </w:pPr>
      <w:r>
        <w:rPr/>
        <w:t xml:space="preserve">(i) Collaborate on approaches related to the conservation and management of older, carbon dense, structurally complex forest stands located on lands managed by the department; increasing carbon sequestration and storage in forests and harvested wood products from department managed forestlands; generating predictable beneficiary revenue; maintaining timber supplies that support local industry; and addressing economic needs in rural counties;</w:t>
      </w:r>
    </w:p>
    <w:p>
      <w:pPr>
        <w:spacing w:before="0" w:after="0" w:line="408" w:lineRule="exact"/>
        <w:ind w:left="0" w:right="0" w:firstLine="576"/>
        <w:jc w:val="left"/>
      </w:pPr>
      <w:r>
        <w:rPr/>
        <w:t xml:space="preserve">(ii) Develop an understanding of current timber supply by region and the effect of potential changes to forest management practices on regional wood supply for the timber market, including an analysis of what is currently known about the needs of existing forest industry infrastructure and what information gaps exist; and</w:t>
      </w:r>
    </w:p>
    <w:p>
      <w:pPr>
        <w:spacing w:before="0" w:after="0" w:line="408" w:lineRule="exact"/>
        <w:ind w:left="0" w:right="0" w:firstLine="576"/>
        <w:jc w:val="left"/>
      </w:pPr>
      <w:r>
        <w:rPr/>
        <w:t xml:space="preserve">(iii) Explore concepts and strategies relevant to the sequestration and storage of carbon in forests and wood products from forested state trust lands managed by the department, including the effect of potential changes to forest management practices, that satisfy the department's trust management responsibilities; and</w:t>
      </w:r>
    </w:p>
    <w:p>
      <w:pPr>
        <w:spacing w:before="0" w:after="0" w:line="408" w:lineRule="exact"/>
        <w:ind w:left="0" w:right="0" w:firstLine="576"/>
        <w:jc w:val="left"/>
      </w:pPr>
      <w:r>
        <w:rPr/>
        <w:t xml:space="preserve">(b) Contract with universities or other researchers or consultants for additional analysis or existing research that is beneficial in the execution of this section, which must include an analysis of:</w:t>
      </w:r>
    </w:p>
    <w:p>
      <w:pPr>
        <w:spacing w:before="0" w:after="0" w:line="408" w:lineRule="exact"/>
        <w:ind w:left="0" w:right="0" w:firstLine="576"/>
        <w:jc w:val="left"/>
      </w:pPr>
      <w:r>
        <w:rPr/>
        <w:t xml:space="preserve">(i) The existing and future demand for wood supply by region, including levels required to maintain existing industry related infrastructure, and modeled impacts on wood supply increases or decreases based on potential changes to forest management practices;</w:t>
      </w:r>
    </w:p>
    <w:p>
      <w:pPr>
        <w:spacing w:before="0" w:after="0" w:line="408" w:lineRule="exact"/>
        <w:ind w:left="0" w:right="0" w:firstLine="576"/>
        <w:jc w:val="left"/>
      </w:pPr>
      <w:r>
        <w:rPr/>
        <w:t xml:space="preserve">(ii) Carbon accounting and quantification methodologies outlined by the intergovernmental panel on climate change as well as emerging scientific research. The methodologies considered must be used to verify and assess the potential increases or decreases in carbon sequestration and storage, in both forests and harvested wood products based on potential changes to management practices on forested state trust lands that also account for increases or decreases in the availability of wood products harvested from forests managed by the department.</w:t>
      </w:r>
    </w:p>
    <w:p>
      <w:pPr>
        <w:spacing w:before="0" w:after="0" w:line="408" w:lineRule="exact"/>
        <w:ind w:left="0" w:right="0" w:firstLine="576"/>
        <w:jc w:val="left"/>
      </w:pPr>
      <w:r>
        <w:rPr/>
        <w:t xml:space="preserve">(c) A report of the stakeholder group's findings, including any information received in work performed in (b) of this subsection (3), must be submitted to the appropriate committees of the legislature by December 1, 2023.</w:t>
      </w:r>
    </w:p>
    <w:p>
      <w:pPr>
        <w:spacing w:before="0" w:after="0" w:line="408" w:lineRule="exact"/>
        <w:ind w:left="0" w:right="0" w:firstLine="576"/>
        <w:jc w:val="left"/>
      </w:pPr>
      <w:r>
        <w:rPr/>
        <w:t xml:space="preserve">(4) $500,000 of the appropriation is provided solely for the department to analyze the appropriateness of using consulting businesses for buying large forest parcels in a competitive marketplace as a way to execute the provisions of this section, and, if appropriate, enter into contracts for that purpose. If the department does not enter into a contract or contracts with consultants for the purposes of purchasing large forest parcels, the funding appropriated for this subsection (4) may be solely used for the purposes of subsection (3) of this section.</w:t>
      </w:r>
    </w:p>
    <w:p>
      <w:pPr>
        <w:spacing w:before="0" w:after="0" w:line="408" w:lineRule="exact"/>
        <w:ind w:left="0" w:right="0" w:firstLine="576"/>
        <w:jc w:val="left"/>
      </w:pPr>
      <w:r>
        <w:rPr>
          <w:u w:val="single"/>
        </w:rPr>
        <w:t xml:space="preserve">(5) $10,000,000 of the appropriation is provided solely for commercial thinning timber sales for the purposes of restoring spotted owl and riparian habitat.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$83,000,000</w:t>
      </w:r>
      <w:r>
        <w:t>))</w:t>
      </w:r>
    </w:p>
    <w:p>
      <w:pPr>
        <w:spacing w:before="0" w:after="0" w:line="408" w:lineRule="exact"/>
        <w:ind w:left="0" w:right="0" w:firstLine="0"/>
        <w:jc w:val="left"/>
        <w:tabs>
          <w:tab w:val="right" w:leader="none" w:pos="9936"/>
        </w:tabs>
      </w:pPr>
      <w:r>
        <w:tab/>
      </w:r>
      <w:r>
        <w:rPr>
          <w:u w:val="single"/>
        </w:rPr>
        <w:t xml:space="preserve">$93,000,000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t>((</w:t>
      </w:r>
      <w:r>
        <w:rPr>
          <w:strike/>
        </w:rPr>
        <w:t xml:space="preserve">$403,000,000</w:t>
      </w:r>
      <w:r>
        <w:t>))</w:t>
      </w:r>
    </w:p>
    <w:p>
      <w:pPr>
        <w:spacing w:before="0" w:after="0" w:line="408" w:lineRule="exact"/>
        <w:ind w:left="0" w:right="0" w:firstLine="0"/>
        <w:jc w:val="left"/>
        <w:tabs>
          <w:tab w:val="right" w:leader="none" w:pos="9936"/>
        </w:tabs>
      </w:pPr>
      <w:r>
        <w:tab/>
      </w:r>
      <w:r>
        <w:rPr>
          <w:u w:val="single"/>
        </w:rPr>
        <w:t xml:space="preserve">$413,000,000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Minor Works Preservation (40000414)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Investments (40000424)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$1,840,000 of the appropriation in this section is provided solely for the department to contract with the YMCA of greater Seattle to relocate or replace existing infrastructure affected by the removal of a tidal gate and restoration of fish passage at Whiteman Cove.</w:t>
      </w:r>
    </w:p>
    <w:p>
      <w:pPr>
        <w:spacing w:before="0" w:after="0" w:line="408" w:lineRule="exact"/>
        <w:ind w:left="0" w:right="0" w:firstLine="576"/>
        <w:jc w:val="left"/>
      </w:pPr>
      <w:r>
        <w:rPr/>
        <w:t xml:space="preserve">(2) $300,000 of the appropriation is provided solely for the department to fund a predesign for an environmental learning center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2025 Trust Land Transfer (40000425)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OFM Capital Document No. 2024-5, developed December 13,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Trust Land Affordable Housing Development (40000426)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improve carbon storage and sequestration on agricultural lands.</w:t>
      </w:r>
    </w:p>
    <w:p>
      <w:pPr>
        <w:spacing w:before="0" w:after="0" w:line="408" w:lineRule="exact"/>
        <w:ind w:left="0" w:right="0" w:firstLine="576"/>
        <w:jc w:val="left"/>
      </w:pPr>
      <w:r>
        <w:rPr/>
        <w:t xml:space="preserve">(2) Only agricultural producers with revenue that is less than $500,000 annually are eligible to receive grants.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 and</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$53,916,000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$431,336,000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$5,504,000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0" w:after="0" w:line="408" w:lineRule="exact"/>
        <w:ind w:left="0" w:right="0" w:firstLine="576"/>
        <w:jc w:val="left"/>
      </w:pPr>
      <w:r>
        <w:rPr>
          <w:u w:val="single"/>
        </w:rPr>
        <w:t xml:space="preserve">(3) The office of the superintendent of public instruction must consult with the department of enterprise services and the department of commerce to identify cost-effective steps to achieve net-zero-readiness for new buildings and building modernization projects to comply with the clean buildings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$436,840,000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$53,916,000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$492,256,000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$5,136,683,000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$5,628,939,000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$255,646,000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$6,000,000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climate commitment account</w:t>
      </w:r>
      <w:r>
        <w:rPr>
          <w:rFonts w:ascii="Times New Roman" w:hAnsi="Times New Roman"/>
        </w:rPr>
        <w:t xml:space="preserve">—</w:t>
      </w:r>
      <w:r>
        <w:rPr/>
        <w:t xml:space="preserve">state appropriation </w:t>
      </w:r>
      <w:r>
        <w:rPr>
          <w:u w:val="single"/>
        </w:rPr>
        <w:t xml:space="preserve">and $1,800,000 of the common school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w:t>
      </w:r>
      <w:r>
        <w:t>((</w:t>
      </w:r>
      <w:r>
        <w:rPr>
          <w:strike/>
        </w:rPr>
        <w:t xml:space="preserve">a list of small school district modernization projects, as prioritized by the advisory committee under RCW 28A.525.159, to the legislature and the governor by September 15, 2024. The list must include: (a) A description of the project; (b) the proposed state funding level, not to exceed $6,000,000 per project; (c) estimated total project costs; and (d) local funding resources.</w:t>
      </w:r>
    </w:p>
    <w:p>
      <w:pPr>
        <w:spacing w:before="0" w:after="0" w:line="408" w:lineRule="exact"/>
        <w:ind w:left="0" w:right="0" w:firstLine="576"/>
        <w:jc w:val="left"/>
      </w:pPr>
      <w:r>
        <w:rPr>
          <w:strike/>
        </w:rPr>
        <w:t xml:space="preserve">(6) The appropriations in this section may be awarded only to projects approved by the legislature, as identified in LEAP capital document No. OSPI-1-2023, developed April 10, 2023</w:t>
      </w:r>
      <w:r>
        <w:t>))</w:t>
      </w:r>
      <w:r>
        <w:rPr/>
        <w:t xml:space="preserve"> </w:t>
      </w:r>
      <w:r>
        <w:rPr>
          <w:u w:val="single"/>
        </w:rPr>
        <w:t xml:space="preserve">a list of small school district modernization projects, as prioritized by the advisory committee under RCW 28A.525.159, to the legislature and the governor by September 15, 2024. The list must include:</w:t>
      </w:r>
    </w:p>
    <w:p>
      <w:pPr>
        <w:spacing w:before="0" w:after="0" w:line="408" w:lineRule="exact"/>
        <w:ind w:left="0" w:right="0" w:firstLine="576"/>
        <w:jc w:val="left"/>
      </w:pPr>
      <w:r>
        <w:rPr>
          <w:u w:val="single"/>
        </w:rPr>
        <w:t xml:space="preserve">(a) A description of the project;</w:t>
      </w:r>
    </w:p>
    <w:p>
      <w:pPr>
        <w:spacing w:before="0" w:after="0" w:line="408" w:lineRule="exact"/>
        <w:ind w:left="0" w:right="0" w:firstLine="576"/>
        <w:jc w:val="left"/>
      </w:pPr>
      <w:r>
        <w:rPr>
          <w:u w:val="single"/>
        </w:rPr>
        <w:t xml:space="preserve">(b) The proposed state funding level, not to exceed $6,000,000 per project;</w:t>
      </w:r>
    </w:p>
    <w:p>
      <w:pPr>
        <w:spacing w:before="0" w:after="0" w:line="408" w:lineRule="exact"/>
        <w:ind w:left="0" w:right="0" w:firstLine="576"/>
        <w:jc w:val="left"/>
      </w:pPr>
      <w:r>
        <w:rPr>
          <w:u w:val="single"/>
        </w:rPr>
        <w:t xml:space="preserve">(c) Estimated total project costs; and</w:t>
      </w:r>
    </w:p>
    <w:p>
      <w:pPr>
        <w:spacing w:before="0" w:after="0" w:line="408" w:lineRule="exact"/>
        <w:ind w:left="0" w:right="0" w:firstLine="576"/>
        <w:jc w:val="left"/>
      </w:pPr>
      <w:r>
        <w:rPr>
          <w:u w:val="single"/>
        </w:rPr>
        <w:t xml:space="preserve">(d) Local funding resources.</w:t>
      </w:r>
    </w:p>
    <w:p>
      <w:pPr>
        <w:spacing w:before="0" w:after="0" w:line="408" w:lineRule="exact"/>
        <w:ind w:left="0" w:right="0" w:firstLine="576"/>
        <w:jc w:val="left"/>
      </w:pPr>
      <w:r>
        <w:rPr>
          <w:u w:val="single"/>
        </w:rPr>
        <w:t xml:space="preserve">(b) In addition to the standard list required in (a) of this subsection, the superintendent of public instruction shall also submit the following alternative lists for their 2025-2027 biennial request:</w:t>
      </w:r>
    </w:p>
    <w:p>
      <w:pPr>
        <w:spacing w:before="0" w:after="0" w:line="408" w:lineRule="exact"/>
        <w:ind w:left="0" w:right="0" w:firstLine="576"/>
        <w:jc w:val="left"/>
      </w:pPr>
      <w:r>
        <w:rPr>
          <w:u w:val="single"/>
        </w:rPr>
        <w:t xml:space="preserve">(a) Small school districts eligible under RCW 28A.525.159, with proposed state funding level not to exceed $12,000,000 per project;</w:t>
      </w:r>
    </w:p>
    <w:p>
      <w:pPr>
        <w:spacing w:before="0" w:after="0" w:line="408" w:lineRule="exact"/>
        <w:ind w:left="0" w:right="0" w:firstLine="576"/>
        <w:jc w:val="left"/>
      </w:pPr>
      <w:r>
        <w:rPr>
          <w:u w:val="single"/>
        </w:rPr>
        <w:t xml:space="preserve">(b) Small school districts with 3,000 students or less, with state funding level not to exceed $6,000,000 per project; and</w:t>
      </w:r>
    </w:p>
    <w:p>
      <w:pPr>
        <w:spacing w:before="0" w:after="0" w:line="408" w:lineRule="exact"/>
        <w:ind w:left="0" w:right="0" w:firstLine="576"/>
        <w:jc w:val="left"/>
      </w:pPr>
      <w:r>
        <w:rPr>
          <w:u w:val="single"/>
        </w:rPr>
        <w:t xml:space="preserve">(c) Small school districts with 3,000 students or less, with state funding level not to exceed $12,000,000 per project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$259,753,000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$276,898,000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$400,124,000</w:t>
      </w:r>
    </w:p>
    <w:p>
      <w:pPr>
        <w:tabs>
          <w:tab w:val="right" w:leader="dot" w:pos="9936"/>
        </w:tabs>
        <w:ind w:left="0" w:right="0" w:firstLine="1440"/>
      </w:pPr>
      <w:r>
        <w:rPr/>
        <w:t xml:space="preserve">TOTAL</w:t>
      </w:r>
      <w:r>
        <w:tab/>
      </w:r>
      <w:r>
        <w:t>((</w:t>
      </w:r>
      <w:r>
        <w:rPr>
          <w:strike/>
        </w:rPr>
        <w:t xml:space="preserve">$500,155,000</w:t>
      </w:r>
      <w:r>
        <w:t>))</w:t>
      </w:r>
    </w:p>
    <w:p>
      <w:pPr>
        <w:spacing w:before="0" w:after="0" w:line="408" w:lineRule="exact"/>
        <w:ind w:left="0" w:right="0" w:firstLine="0"/>
        <w:jc w:val="left"/>
        <w:tabs>
          <w:tab w:val="right" w:leader="none" w:pos="9936"/>
        </w:tabs>
      </w:pPr>
      <w:r>
        <w:tab/>
      </w:r>
      <w:r>
        <w:rPr>
          <w:u w:val="single"/>
        </w:rPr>
        <w:t xml:space="preserve">$677,022,000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$11,000,000</w:t>
      </w:r>
      <w:r>
        <w:rPr/>
        <w:t xml:space="preserve">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w:t>
      </w:r>
      <w:r>
        <w:t>((</w:t>
      </w:r>
      <w:r>
        <w:rPr>
          <w:strike/>
        </w:rPr>
        <w:t xml:space="preserve">$11,600,000</w:t>
      </w:r>
      <w:r>
        <w:t>))</w:t>
      </w:r>
      <w:r>
        <w:rPr/>
        <w:t xml:space="preserve"> </w:t>
      </w:r>
      <w:r>
        <w:rPr>
          <w:u w:val="single"/>
        </w:rPr>
        <w:t xml:space="preserve">$12,700,000</w:t>
      </w:r>
      <w:r>
        <w:rPr/>
        <w:t xml:space="preserve">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w:t>
      </w:r>
      <w:r>
        <w:t>((</w:t>
      </w:r>
      <w:r>
        <w:rPr>
          <w:strike/>
        </w:rPr>
        <w:t xml:space="preserve">$3,600,000</w:t>
      </w:r>
      <w:r>
        <w:t>))</w:t>
      </w:r>
      <w:r>
        <w:rPr/>
        <w:t xml:space="preserve"> </w:t>
      </w:r>
      <w:r>
        <w:rPr>
          <w:u w:val="single"/>
        </w:rPr>
        <w:t xml:space="preserve">$4,600,000</w:t>
      </w:r>
      <w:r>
        <w:rPr/>
        <w:t xml:space="preserve">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$20,200,000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$80,800,000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$109,100,000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t>((</w:t>
      </w:r>
      <w:r>
        <w:rPr>
          <w:strike/>
        </w:rPr>
        <w:t xml:space="preserve">$57,500,000</w:t>
      </w:r>
      <w:r>
        <w:t>))</w:t>
      </w:r>
    </w:p>
    <w:p>
      <w:pPr>
        <w:spacing w:before="0" w:after="0" w:line="408" w:lineRule="exact"/>
        <w:ind w:left="0" w:right="0" w:firstLine="0"/>
        <w:jc w:val="left"/>
        <w:tabs>
          <w:tab w:val="right" w:leader="none" w:pos="9936"/>
        </w:tabs>
      </w:pPr>
      <w:r>
        <w:tab/>
      </w:r>
      <w:r>
        <w:rPr>
          <w:u w:val="single"/>
        </w:rPr>
        <w:t xml:space="preserve">$59,000,000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Equitable Access to Clean Air &amp; Improving Classroom Air Quality (40000104)</w:t>
      </w:r>
    </w:p>
    <w:p>
      <w:pPr>
        <w:spacing w:before="120" w:after="0" w:line="408" w:lineRule="exact"/>
        <w:ind w:left="0" w:right="0" w:firstLine="576"/>
        <w:jc w:val="left"/>
      </w:pPr>
      <w:r>
        <w:rPr/>
        <w:t xml:space="preserve">The appropriations in this section are subject to the following conditions and limitations: $20,000,000 of the climate commitment account</w:t>
      </w:r>
      <w:r>
        <w:rPr>
          <w:rFonts w:ascii="Times New Roman" w:hAnsi="Times New Roman"/>
        </w:rPr>
        <w:t xml:space="preserve">—</w:t>
      </w:r>
      <w:r>
        <w:rPr/>
        <w:t xml:space="preserve">state appropriation and $20,000,000 of the common school construction account</w:t>
      </w:r>
      <w:r>
        <w:rPr>
          <w:rFonts w:ascii="Times New Roman" w:hAnsi="Times New Roman"/>
        </w:rPr>
        <w:t xml:space="preserve">—</w:t>
      </w:r>
      <w:r>
        <w:rPr/>
        <w:t xml:space="preserve">state appropriation in this section are provided solely for the following:</w:t>
      </w:r>
    </w:p>
    <w:p>
      <w:pPr>
        <w:spacing w:before="0" w:after="0" w:line="408" w:lineRule="exact"/>
        <w:ind w:left="0" w:right="0" w:firstLine="576"/>
        <w:jc w:val="left"/>
      </w:pPr>
      <w:r>
        <w:rPr/>
        <w:t xml:space="preserve">(1) Grants to school districts for heating, ventilation, and air conditioning (HVAC) systems, air filtration enhancement, and general air quality and energy efficiency improvements. Funding is provided to aid in the transition of school buildings away from fossil fuels and improving indoor air quality by installing high efficiency electric heat pumps, energy efficiency upgrades, and other high efficiency electric equipment and air filtration systems.</w:t>
      </w:r>
    </w:p>
    <w:p>
      <w:pPr>
        <w:spacing w:before="0" w:after="0" w:line="408" w:lineRule="exact"/>
        <w:ind w:left="0" w:right="0" w:firstLine="576"/>
        <w:jc w:val="left"/>
      </w:pPr>
      <w:r>
        <w:rPr/>
        <w:t xml:space="preserve">(2) Funding must be prioritized for school districts:</w:t>
      </w:r>
    </w:p>
    <w:p>
      <w:pPr>
        <w:spacing w:before="0" w:after="0" w:line="408" w:lineRule="exact"/>
        <w:ind w:left="0" w:right="0" w:firstLine="576"/>
        <w:jc w:val="left"/>
      </w:pPr>
      <w:r>
        <w:rPr/>
        <w:t xml:space="preserve">(a) In overburdened communities, as defined in RCW 70A.65.010;</w:t>
      </w:r>
    </w:p>
    <w:p>
      <w:pPr>
        <w:spacing w:before="0" w:after="0" w:line="408" w:lineRule="exact"/>
        <w:ind w:left="0" w:right="0" w:firstLine="576"/>
        <w:jc w:val="left"/>
      </w:pPr>
      <w:r>
        <w:rPr/>
        <w:t xml:space="preserve">(b) With limited financial capacity;</w:t>
      </w:r>
    </w:p>
    <w:p>
      <w:pPr>
        <w:spacing w:before="0" w:after="0" w:line="408" w:lineRule="exact"/>
        <w:ind w:left="0" w:right="0" w:firstLine="576"/>
        <w:jc w:val="left"/>
      </w:pPr>
      <w:r>
        <w:rPr/>
        <w:t xml:space="preserve">(c) With enrollment at or below 3,000 students; and</w:t>
      </w:r>
    </w:p>
    <w:p>
      <w:pPr>
        <w:spacing w:before="0" w:after="0" w:line="408" w:lineRule="exact"/>
        <w:ind w:left="0" w:right="0" w:firstLine="576"/>
        <w:jc w:val="left"/>
      </w:pPr>
      <w:r>
        <w:rPr/>
        <w:t xml:space="preserve">(d) Relying on costly, energy inefficient equipment.</w:t>
      </w:r>
    </w:p>
    <w:p>
      <w:pPr>
        <w:spacing w:before="0" w:after="0" w:line="408" w:lineRule="exact"/>
        <w:ind w:left="0" w:right="0" w:firstLine="576"/>
        <w:jc w:val="left"/>
      </w:pPr>
      <w:r>
        <w:rPr/>
        <w:t xml:space="preserve">(3) Grantees may seek technical assistance from local health jurisdiction school safety programs or the department of health, as applicable.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$21,740,000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$86,960,000</w:t>
      </w:r>
    </w:p>
    <w:p>
      <w:pPr>
        <w:tabs>
          <w:tab w:val="right" w:leader="dot" w:pos="9936"/>
        </w:tabs>
        <w:ind w:left="0" w:right="0" w:firstLine="1440"/>
      </w:pPr>
      <w:r>
        <w:rPr/>
        <w:t xml:space="preserve">TOTAL</w:t>
      </w:r>
      <w:r>
        <w:tab/>
      </w:r>
      <w:r>
        <w:rPr/>
        <w:t xml:space="preserve">$108,700,000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$5,000,000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$134,764,000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$172,160,000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$23,676,000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$27,571,000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$19,660,000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$22,894,000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Energy Renewal Program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Energy Improvements (40000112)</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air handler replacement and control upgrades at the physical education activities building and the HVAC and air handler unit replacements at the Jim Thorpe fieldhouse.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$24,940,000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Preserving State-owned Public Art (30000004)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CTC Energy Efficiency Program (40000880)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$1,153,000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$3,311,000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w:t>
      </w:r>
      <w:r>
        <w:rPr/>
        <w:t xml:space="preserve">6343 (uncodified);</w:t>
      </w:r>
    </w:p>
    <w:p>
      <w:pPr>
        <w:spacing w:before="0" w:after="0" w:line="408" w:lineRule="exact"/>
        <w:ind w:left="0" w:right="0" w:firstLine="576"/>
        <w:jc w:val="left"/>
      </w:pPr>
      <w:r>
        <w:t xml:space="preserve">(2) </w:t>
      </w:r>
      <w:r>
        <w:rPr/>
        <w:t xml:space="preserve">2023 c 474 s </w:t>
      </w:r>
      <w:r>
        <w:rPr/>
        <w:t xml:space="preserve">6489 (uncodified); and</w:t>
      </w:r>
    </w:p>
    <w:p>
      <w:pPr>
        <w:spacing w:before="0" w:after="0" w:line="408" w:lineRule="exact"/>
        <w:ind w:left="0" w:right="0" w:firstLine="576"/>
        <w:jc w:val="left"/>
      </w:pPr>
      <w:r>
        <w:t xml:space="preserve">(3) </w:t>
      </w:r>
      <w:r>
        <w:rPr/>
        <w:t xml:space="preserve">2023 c 474 s </w:t>
      </w:r>
      <w:r>
        <w:rPr/>
        <w:t xml:space="preserve">6490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2023 c 475 s 932 and 2023 c 474 s 8037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and 2023-2025 fiscal biennia, the legislature may appropriate moneys from the account for activities related to the community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During the 2023-2025 fiscal biennium, the legislature may appropriate moneys from the public works assistance account for an evaluation of the costs of relocating public utilities related to fish barrier removal projects</w:t>
      </w:r>
      <w:r>
        <w:t>((</w:t>
      </w:r>
      <w:r>
        <w:rPr>
          <w:strike/>
        </w:rPr>
        <w:t xml:space="preserve">. During the 2023-2025 fiscal biennium, the legislature may appropriate moneys from the account</w:t>
      </w:r>
      <w:r>
        <w:t>))</w:t>
      </w:r>
      <w:r>
        <w:rPr>
          <w:u w:val="single"/>
        </w:rPr>
        <w:t xml:space="preserve">, for activities related to broadband infrastructure federal match projects and broadband subgrantee technical assistance, and</w:t>
      </w:r>
      <w:r>
        <w:rPr/>
        <w:t xml:space="preserve"> for activities related to developing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2022 c 182 s 101 are each amended to read as follows:</w:t>
      </w:r>
    </w:p>
    <w:p>
      <w:pPr>
        <w:spacing w:before="0" w:after="0" w:line="408" w:lineRule="exact"/>
        <w:ind w:left="0" w:right="0" w:firstLine="576"/>
        <w:jc w:val="left"/>
      </w:pPr>
      <w:r>
        <w:rPr/>
        <w:t xml:space="preserve">(1)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and shall be made in accordance with subsection (2) of this section. </w:t>
      </w:r>
      <w:r>
        <w:rPr>
          <w:u w:val="single"/>
        </w:rPr>
        <w:t xml:space="preserve">However, during the 2023-2025 fiscal biennium, the legislature may also appropriate moneys from the account in the omnibus capital appropriations act.</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t xml:space="preserve">(a) Active transportation;</w:t>
      </w:r>
    </w:p>
    <w:p>
      <w:pPr>
        <w:spacing w:before="0" w:after="0" w:line="408" w:lineRule="exact"/>
        <w:ind w:left="0" w:right="0" w:firstLine="576"/>
        <w:jc w:val="left"/>
      </w:pPr>
      <w:r>
        <w:rPr/>
        <w:t xml:space="preserve">(b) Transit programs and projects;</w:t>
      </w:r>
    </w:p>
    <w:p>
      <w:pPr>
        <w:spacing w:before="0" w:after="0" w:line="408" w:lineRule="exact"/>
        <w:ind w:left="0" w:right="0" w:firstLine="576"/>
        <w:jc w:val="left"/>
      </w:pPr>
      <w:r>
        <w:rPr/>
        <w:t xml:space="preserve">(c) Alternative fuel and electrification;</w:t>
      </w:r>
    </w:p>
    <w:p>
      <w:pPr>
        <w:spacing w:before="0" w:after="0" w:line="408" w:lineRule="exact"/>
        <w:ind w:left="0" w:right="0" w:firstLine="576"/>
        <w:jc w:val="left"/>
      </w:pPr>
      <w:r>
        <w:rPr/>
        <w:t xml:space="preserve">(d) Ferries; and</w:t>
      </w:r>
    </w:p>
    <w:p>
      <w:pPr>
        <w:spacing w:before="0" w:after="0" w:line="408" w:lineRule="exact"/>
        <w:ind w:left="0" w:right="0" w:firstLine="576"/>
        <w:jc w:val="left"/>
      </w:pPr>
      <w:r>
        <w:rPr/>
        <w:t xml:space="preserve">(e) Rail.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ea7971aae6440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09ba2062f14411" /><Relationship Type="http://schemas.openxmlformats.org/officeDocument/2006/relationships/footer" Target="/word/footer1.xml" Id="Raea7971aae64405d" /></Relationships>
</file>