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26d8cb1334f26" /></Relationships>
</file>

<file path=word/document.xml><?xml version="1.0" encoding="utf-8"?>
<w:document xmlns:w="http://schemas.openxmlformats.org/wordprocessingml/2006/main">
  <w:body>
    <w:p>
      <w:r>
        <w:t>S-3852.1</w:t>
      </w:r>
    </w:p>
    <w:p>
      <w:pPr>
        <w:jc w:val="center"/>
      </w:pPr>
      <w:r>
        <w:t>_______________________________________________</w:t>
      </w:r>
    </w:p>
    <w:p/>
    <w:p>
      <w:pPr>
        <w:jc w:val="center"/>
      </w:pPr>
      <w:r>
        <w:rPr>
          <w:b/>
        </w:rPr>
        <w:t>SENATE BILL 6004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Trudeau, Dhingra, Frame, Hunt, Keiser, Kuderer, Nobles, Pedersen, Saldaña, Stanford, Valdez,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specifying standards for firearms safety training programs, and specifying circumstances where a firearm transfer may be delayed; amending RCW 9.41.090, 9.41.1132, 43.43.590, 9.41.049, 9.41.097, 9.41.0975, 9.41.110, 9.41.270, 9.41.280, 9.41.282, 9.41.284, 9.41.345, 9.41.800, 9.41.801, 9.41.802, 9.41.804, 9.41.815, 7.105.305, 7.105.330, 7.105.335, 7.105.340, 7.105.350, 7.105.570, 10.31.100, 10.99.030, 11.130.257, 26.09.060, 71.05.182, and 72.23.080; reenacting and amending RCW 9.41.047, 7.105.310, and 10.99.040; adding new sections to chapter 9.41 RCW; adding a new section to chapter 43.43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2023 c 161 s 1 are each amended to read as follows:</w:t>
      </w:r>
    </w:p>
    <w:p>
      <w:pPr>
        <w:spacing w:before="0" w:after="0" w:line="408" w:lineRule="exact"/>
        <w:ind w:left="0" w:right="0" w:firstLine="576"/>
        <w:jc w:val="left"/>
      </w:pPr>
      <w:r>
        <w:rPr/>
        <w:t xml:space="preserve">(1) In addition to the other requirements of this chapter, no dealer may deliver a firearm to the purchaser thereof until:</w:t>
      </w:r>
    </w:p>
    <w:p>
      <w:pPr>
        <w:spacing w:before="0" w:after="0" w:line="408" w:lineRule="exact"/>
        <w:ind w:left="0" w:right="0" w:firstLine="576"/>
        <w:jc w:val="left"/>
      </w:pPr>
      <w:r>
        <w:rPr/>
        <w:t xml:space="preserve">(a) The purchaser </w:t>
      </w:r>
      <w:r>
        <w:t>((</w:t>
      </w:r>
      <w:r>
        <w:rPr>
          <w:strike/>
        </w:rPr>
        <w:t xml:space="preserve">provides proof of completion of a recognized firearm safety training program within the last five years that complies with the requirements in RCW 9.41.1132, or proof that the purchaser is exempt from the training requirement</w:t>
      </w:r>
      <w:r>
        <w:t>))</w:t>
      </w:r>
      <w:r>
        <w:rPr/>
        <w:t xml:space="preserve"> </w:t>
      </w:r>
      <w:r>
        <w:rPr>
          <w:u w:val="single"/>
        </w:rPr>
        <w:t xml:space="preserve">produces a valid permit to purchase firearms under section 2 of this act</w:t>
      </w:r>
      <w:r>
        <w:rPr/>
        <w:t xml:space="preserve">;</w:t>
      </w:r>
    </w:p>
    <w:p>
      <w:pPr>
        <w:spacing w:before="0" w:after="0" w:line="408" w:lineRule="exact"/>
        <w:ind w:left="0" w:right="0" w:firstLine="576"/>
        <w:jc w:val="left"/>
      </w:pPr>
      <w:r>
        <w:rPr/>
        <w:t xml:space="preserve">(b) The dealer is notified by the Washington state patrol firearms background check program that the purchaser is eligible to possess a firearm under state and federal law; and</w:t>
      </w:r>
    </w:p>
    <w:p>
      <w:pPr>
        <w:spacing w:before="0" w:after="0" w:line="408" w:lineRule="exact"/>
        <w:ind w:left="0" w:right="0" w:firstLine="576"/>
        <w:jc w:val="left"/>
      </w:pPr>
      <w:r>
        <w:rPr/>
        <w:t xml:space="preserve">(c) The requirements and time periods in RCW 9.41.092 have been satisfied.</w:t>
      </w:r>
    </w:p>
    <w:p>
      <w:pPr>
        <w:spacing w:before="0" w:after="0" w:line="408" w:lineRule="exact"/>
        <w:ind w:left="0" w:right="0" w:firstLine="576"/>
        <w:jc w:val="left"/>
      </w:pPr>
      <w:r>
        <w:rPr/>
        <w:t xml:space="preserve">(2) In determining whether the purchaser is eligible to possess a firearm, the Washington state patrol firearms background check program shall check with the national instant criminal background check system, provided for by the Brady handgun violence prevention act (18 U.S.C. Sec. 921 et seq.), the Washington state patrol electronic database, the health care authority electronic database, the administrative office of the courts, LInX-NW,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(3)(a) </w:t>
      </w:r>
      <w:r>
        <w:rPr>
          <w:u w:val="single"/>
        </w:rPr>
        <w:t xml:space="preserve">In any case where the applicant has an outstanding warrant for his or her arrest from any court of competent jurisdiction for a felony or misdemeanor, the Washington state patrol firearms background check program shall advise the dealer that the delivery of the firearm is delayed. The Washington state patrol firearms background check program shall confirm the existence of outstanding warrants after notification of the application to purchase a firearm is received. Upon confirming that the warrant is valid, the Washington state patrol firearms background check program will advise the dealer that transfer of the firearm is denied.</w:t>
      </w:r>
    </w:p>
    <w:p>
      <w:pPr>
        <w:spacing w:before="0" w:after="0" w:line="408" w:lineRule="exact"/>
        <w:ind w:left="0" w:right="0" w:firstLine="576"/>
        <w:jc w:val="left"/>
      </w:pPr>
      <w:r>
        <w:rPr>
          <w:u w:val="single"/>
        </w:rPr>
        <w:t xml:space="preserve">(b) In any case where the Washington state patrol firearms background check program has reasonable grounds based on the following circumstances: (i) Open criminal charges, (ii) pending criminal proceedings, (iii) pending commitment proceedings, or (iv) an arrest for an offense making a person ineligible under RCW 9.41.040 to possess a firearm, if the records of disposition have not yet been reported or entered sufficiently to determine eligibility to purchase a firearm, the Washington state patrol firearms background check program shall notify the dealer that delivery of the firearm is delayed in order to confirm existing records in this state or elsewhere or to confirm the identity of the applicant.</w:t>
      </w:r>
    </w:p>
    <w:p>
      <w:pPr>
        <w:spacing w:before="0" w:after="0" w:line="408" w:lineRule="exact"/>
        <w:ind w:left="0" w:right="0" w:firstLine="576"/>
        <w:jc w:val="left"/>
      </w:pPr>
      <w:r>
        <w:rPr>
          <w:u w:val="single"/>
        </w:rPr>
        <w:t xml:space="preserve">(4)(a)</w:t>
      </w:r>
      <w:r>
        <w:rPr/>
        <w:t xml:space="preserve"> At the time of applying for the purchase of a firearm, the purchaser shall sign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firearm including the make, model, caliber and manufacturer's number if available at the time of applying for the purchase of the firearm. If the manufacturer's number is not available at the time of applying for the purchase of a firearm, the application may be processed, but delivery of the firearm to the purchaser may not occur unless the manufacturer's number is recorded on the application by the dealer and transmitted to the Washington state patrol firearms background check program; 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p>
    <w:p>
      <w:pPr>
        <w:spacing w:before="0" w:after="0" w:line="408" w:lineRule="exact"/>
        <w:ind w:left="0" w:right="0" w:firstLine="576"/>
        <w:jc w:val="left"/>
      </w:pPr>
      <w:r>
        <w:rPr/>
        <w:t xml:space="preserve">(b) The dealer shall provide the applicant with information that contains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transmit the information from the application through secure automated firearms e-check (SAFE) to the Washington state patrol firearms background check program. The original application shall be retained by the dealer for six years.</w:t>
      </w:r>
    </w:p>
    <w:p>
      <w:pPr>
        <w:spacing w:before="0" w:after="0" w:line="408" w:lineRule="exact"/>
        <w:ind w:left="0" w:right="0" w:firstLine="576"/>
        <w:jc w:val="left"/>
      </w:pPr>
      <w:r>
        <w:rPr/>
        <w:t xml:space="preserve">(d) The dealer shall deliver the firearm to the purchaser once the requirements and period of time specified in this chapter are satisfied. The application shall not be denied unless the purchaser is not eligible to purchase or possess the firearm under state or federal law or has not complied with the requirements of this section.</w:t>
      </w:r>
    </w:p>
    <w:p>
      <w:pPr>
        <w:spacing w:before="0" w:after="0" w:line="408" w:lineRule="exact"/>
        <w:ind w:left="0" w:right="0" w:firstLine="576"/>
        <w:jc w:val="left"/>
      </w:pPr>
      <w:r>
        <w:rPr/>
        <w:t xml:space="preserve">(e) The Washington state patrol firearms background check program shall retain or destroy applications to purchase a firearm in accordance with the requirements of 18 U.S.C. Sec. 922.</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RCW 9.41.1132;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(8)(a)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and with other agencies or resources as appropriate.</w:t>
      </w:r>
    </w:p>
    <w:p>
      <w:pPr>
        <w:spacing w:before="0" w:after="0" w:line="408" w:lineRule="exact"/>
        <w:ind w:left="0" w:right="0" w:firstLine="576"/>
        <w:jc w:val="left"/>
      </w:pPr>
      <w:r>
        <w:rPr/>
        <w:t xml:space="preserve">(b) A background check for an original permit must be conducted through the Washington state patrol criminal records division and shall include a national check from the federal bureau of investigation through the submission of fingerprints. The results will be returned to the Washington state patrol firearms background check program. The applicant may request and receive a copy of the results of the background check from the firearms background check program.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w:t>
      </w:r>
      <w:r>
        <w:rPr/>
        <w:t xml:space="preserve">The fee for an application for an original or renewal permit to purchase firearms is $28, which may be adjusted by the Washington state patrol firearms background check program to an amount necessary to cover the costs incurred in administering the permit to purchase firearms program. The Washington state patrol firearms background check program shall establish a late penalty for late renewal of a permit to purchase firearms.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1132</w:t>
      </w:r>
      <w:r>
        <w:rPr/>
        <w:t xml:space="preserve"> and 2023 c 161 s 2 are each amended to read as follows:</w:t>
      </w:r>
    </w:p>
    <w:p>
      <w:pPr>
        <w:spacing w:before="0" w:after="0" w:line="408" w:lineRule="exact"/>
        <w:ind w:left="0" w:right="0" w:firstLine="576"/>
        <w:jc w:val="left"/>
      </w:pPr>
      <w:r>
        <w:rPr/>
        <w:t xml:space="preserve">(1) A person applying for </w:t>
      </w:r>
      <w:r>
        <w:t>((</w:t>
      </w:r>
      <w:r>
        <w:rPr>
          <w:strike/>
        </w:rPr>
        <w:t xml:space="preserve">the purchase or transfer of a firearm</w:t>
      </w:r>
      <w:r>
        <w:t>))</w:t>
      </w:r>
      <w:r>
        <w:rPr/>
        <w:t xml:space="preserve"> </w:t>
      </w:r>
      <w:r>
        <w:rPr>
          <w:u w:val="single"/>
        </w:rPr>
        <w:t xml:space="preserve">a permit to purchase firearms</w:t>
      </w:r>
      <w:r>
        <w:rPr/>
        <w:t xml:space="preserve"> must provide </w:t>
      </w:r>
      <w:r>
        <w:t>((</w:t>
      </w:r>
      <w:r>
        <w:rPr>
          <w:strike/>
        </w:rPr>
        <w:t xml:space="preserve">proof</w:t>
      </w:r>
      <w:r>
        <w:t>))</w:t>
      </w:r>
      <w:r>
        <w:rPr/>
        <w:t xml:space="preserve"> </w:t>
      </w:r>
      <w:r>
        <w:rPr>
          <w:u w:val="single"/>
        </w:rPr>
        <w:t xml:space="preserve">a certificate</w:t>
      </w:r>
      <w:r>
        <w:rPr/>
        <w:t xml:space="preserve"> of completion of a </w:t>
      </w:r>
      <w:r>
        <w:t>((</w:t>
      </w:r>
      <w:r>
        <w:rPr>
          <w:strike/>
        </w:rPr>
        <w:t xml:space="preserve">recognized</w:t>
      </w:r>
      <w:r>
        <w:t>))</w:t>
      </w:r>
      <w:r>
        <w:rPr/>
        <w:t xml:space="preserve"> </w:t>
      </w:r>
      <w:r>
        <w:rPr>
          <w:u w:val="single"/>
        </w:rPr>
        <w:t xml:space="preserve">certified</w:t>
      </w:r>
      <w:r>
        <w:rPr/>
        <w:t xml:space="preserve">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w:t>
      </w:r>
      <w:r>
        <w:t>((</w:t>
      </w:r>
      <w:r>
        <w:rPr>
          <w:strike/>
        </w:rPr>
        <w:t xml:space="preserve">and</w:t>
      </w:r>
      <w:r>
        <w:t>))</w:t>
      </w:r>
    </w:p>
    <w:p>
      <w:pPr>
        <w:spacing w:before="0" w:after="0" w:line="408" w:lineRule="exact"/>
        <w:ind w:left="0" w:right="0" w:firstLine="576"/>
        <w:jc w:val="left"/>
      </w:pPr>
      <w:r>
        <w:rPr/>
        <w:t xml:space="preserve">(h) Techniques for avoiding a criminal attack and how to manage a violent confrontation, including conflict resolution</w:t>
      </w:r>
      <w:r>
        <w:rPr>
          <w:u w:val="single"/>
        </w:rPr>
        <w:t xml:space="preserve">; and</w:t>
      </w:r>
    </w:p>
    <w:p>
      <w:pPr>
        <w:spacing w:before="0" w:after="0" w:line="408" w:lineRule="exact"/>
        <w:ind w:left="0" w:right="0" w:firstLine="576"/>
        <w:jc w:val="left"/>
      </w:pPr>
      <w:r>
        <w:rPr>
          <w:u w:val="single"/>
        </w:rPr>
        <w:t xml:space="preserve">(i) Live-fire shooting exercises on a firing range that include a demonstration by the applicant of the safe handling of, and shooting proficiency with, firearms</w:t>
      </w:r>
      <w:r>
        <w:rPr/>
        <w:t xml:space="preserve">.</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w:t>
      </w:r>
      <w:r>
        <w:t>((</w:t>
      </w:r>
      <w:r>
        <w:rPr>
          <w:strike/>
        </w:rPr>
        <w:t xml:space="preserve">proof</w:t>
      </w:r>
      <w:r>
        <w:t>))</w:t>
      </w:r>
      <w:r>
        <w:rPr/>
        <w:t xml:space="preserve"> </w:t>
      </w:r>
      <w:r>
        <w:rPr>
          <w:u w:val="single"/>
        </w:rPr>
        <w:t xml:space="preserve">certificate</w:t>
      </w:r>
      <w:r>
        <w:rPr/>
        <w:t xml:space="preserve"> of training shall be in the form </w:t>
      </w:r>
      <w:r>
        <w:t>((</w:t>
      </w:r>
      <w:r>
        <w:rPr>
          <w:strike/>
        </w:rPr>
        <w:t xml:space="preserve">of a certification that states under the penalty of perjury that the training included the minimum requirements</w:t>
      </w:r>
      <w:r>
        <w:t>))</w:t>
      </w:r>
      <w:r>
        <w:rPr/>
        <w:t xml:space="preserve"> </w:t>
      </w:r>
      <w:r>
        <w:rPr>
          <w:u w:val="single"/>
        </w:rPr>
        <w:t xml:space="preserve">and manner of documentation developed by the Washington state patrol under section 4 of this act</w:t>
      </w:r>
      <w:r>
        <w:rPr/>
        <w:t xml:space="preserve">.</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RCW 9.41.1132, and to require certified firearms safety programs to apply for recertification every five years.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local law enforcement agency taking fingerprints pursuant to section 2 of this act may charge a reasonable fee to recover as nearly as practicable the direct and indirect costs to the local law enforcement agency of taking and transmitting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10.77.088 and the court makes a finding that the person has a history of one or more violent acts, the court shall notify the person, orally and in writing, that the person must immediately surrender all firearms and any concealed pistol license </w:t>
      </w:r>
      <w:r>
        <w:rPr>
          <w:u w:val="single"/>
        </w:rPr>
        <w:t xml:space="preserve">or permit to purchase firearms</w:t>
      </w:r>
      <w:r>
        <w:rPr/>
        <w:t xml:space="preserv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in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in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2023 c 161 s 6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to be issued a concealed pistol license under RCW 9.41.070 </w:t>
      </w:r>
      <w:r>
        <w:rPr>
          <w:u w:val="single"/>
        </w:rPr>
        <w:t xml:space="preserve">or a permit to purchase firearms under section 2 of this act</w:t>
      </w:r>
      <w:r>
        <w:rPr/>
        <w:t xml:space="preserve">, or to purchase a firearm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Washington state patrol firearms background check program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2023 c 161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the Washington state patrol firearms background check program to approve an application to purchase a firearm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firearm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an application to purchase a firearm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2023 c 470 s 3004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w:t>
      </w:r>
      <w:r>
        <w:t>((</w:t>
      </w:r>
      <w:r>
        <w:rPr>
          <w:strike/>
        </w:rPr>
        <w:t xml:space="preserve">nun-chu-ka [nunchaku]</w:t>
      </w:r>
      <w:r>
        <w:t>))</w:t>
      </w:r>
      <w:r>
        <w:rPr/>
        <w:t xml:space="preserve"> </w:t>
      </w:r>
      <w:r>
        <w:rPr>
          <w:u w:val="single"/>
        </w:rPr>
        <w:t xml:space="preserve">nunchaku</w:t>
      </w:r>
      <w:r>
        <w:rPr/>
        <w:t xml:space="preserve">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(2)(a) Any such person violating subsection (1) of this section is guilty of a misdemeanor.</w:t>
      </w:r>
    </w:p>
    <w:p>
      <w:pPr>
        <w:spacing w:before="0" w:after="0" w:line="408" w:lineRule="exact"/>
        <w:ind w:left="0" w:right="0" w:firstLine="576"/>
        <w:jc w:val="left"/>
      </w:pPr>
      <w:r>
        <w:rPr/>
        <w:t xml:space="preserve">(b) Second and subsequent violations of subsection (1) of this section are a gross misdemeanor.</w:t>
      </w:r>
    </w:p>
    <w:p>
      <w:pPr>
        <w:spacing w:before="0" w:after="0" w:line="408" w:lineRule="exact"/>
        <w:ind w:left="0" w:right="0" w:firstLine="576"/>
        <w:jc w:val="left"/>
      </w:pPr>
      <w:r>
        <w:rPr/>
        <w:t xml:space="preserve">(c)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w:t>
      </w:r>
      <w:r>
        <w:t>((</w:t>
      </w:r>
      <w:r>
        <w:rPr>
          <w:strike/>
        </w:rPr>
        <w:t xml:space="preserve">nun-chu-ka [nunchaku]</w:t>
      </w:r>
      <w:r>
        <w:t>))</w:t>
      </w:r>
      <w:r>
        <w:rPr/>
        <w:t xml:space="preserve"> </w:t>
      </w:r>
      <w:r>
        <w:rPr>
          <w:u w:val="single"/>
        </w:rPr>
        <w:t xml:space="preserve">nunchaku</w:t>
      </w:r>
      <w:r>
        <w:rPr/>
        <w:t xml:space="preserve">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2023 c 470 s 3005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(2)(a) A person who violates subsection (1) of this section is guilty of a misdemeanor.</w:t>
      </w:r>
    </w:p>
    <w:p>
      <w:pPr>
        <w:spacing w:before="0" w:after="0" w:line="408" w:lineRule="exact"/>
        <w:ind w:left="0" w:right="0" w:firstLine="576"/>
        <w:jc w:val="left"/>
      </w:pPr>
      <w:r>
        <w:rPr/>
        <w:t xml:space="preserve">(b) Second and subsequent violations of this section are a gross misdemeanor.</w:t>
      </w:r>
    </w:p>
    <w:p>
      <w:pPr>
        <w:spacing w:before="0" w:after="0" w:line="408" w:lineRule="exact"/>
        <w:ind w:left="0" w:right="0" w:firstLine="576"/>
        <w:jc w:val="left"/>
      </w:pPr>
      <w:r>
        <w:rPr/>
        <w:t xml:space="preserve">(c)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2023 c 462 s 402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w:t>
      </w:r>
    </w:p>
    <w:p>
      <w:pPr>
        <w:spacing w:before="0" w:after="0" w:line="408" w:lineRule="exact"/>
        <w:ind w:left="0" w:right="0" w:firstLine="576"/>
        <w:jc w:val="left"/>
      </w:pPr>
      <w:r>
        <w:rPr/>
        <w:t xml:space="preserve">(d) Ensure that five business days have elapsed from the time the firearm was obtained by law enforcement; and</w:t>
      </w:r>
    </w:p>
    <w:p>
      <w:pPr>
        <w:spacing w:before="0" w:after="0" w:line="408" w:lineRule="exact"/>
        <w:ind w:left="0" w:right="0" w:firstLine="576"/>
        <w:jc w:val="left"/>
      </w:pPr>
      <w:r>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the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notification is required under RCW 9.41.340(1)(a) (i) or (ii), a law enforcement agency must hold the firearm in custody for five business days from the time notification has been provided or information has been entered.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2023 c 462 s 503 are each amended to read as follows:</w:t>
      </w:r>
    </w:p>
    <w:p>
      <w:pPr>
        <w:spacing w:before="0" w:after="0" w:line="408" w:lineRule="exact"/>
        <w:ind w:left="0" w:right="0" w:firstLine="576"/>
        <w:jc w:val="left"/>
      </w:pPr>
      <w:r>
        <w:rPr/>
        <w:t xml:space="preserve">(1) Any court when entering an order authorized under chapter 7.105 RCW, RCW 9A.40.102, 9A.44.210, 9A.46.080, 9A.88.160, 10.99.040, 10.99.045, 26.09.050, 26.09.060, 26.26B.020, 26.26A.470, or 46.61.5055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the party's custody, control, or possession, or subject to the party's immediate possession or control, and any concealed pistol license issued under RCW 9.41.070 </w:t>
      </w:r>
      <w:r>
        <w:rPr>
          <w:u w:val="single"/>
        </w:rPr>
        <w:t xml:space="preserve">and permit to purchase firearms issued under section 2 of this act</w:t>
      </w:r>
      <w:r>
        <w:rPr/>
        <w:t xml:space="preserve">, to the local law enforcement agency.</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 and</w:t>
      </w:r>
    </w:p>
    <w:p>
      <w:pPr>
        <w:spacing w:before="0" w:after="0" w:line="408" w:lineRule="exact"/>
        <w:ind w:left="0" w:right="0" w:firstLine="576"/>
        <w:jc w:val="left"/>
      </w:pPr>
      <w:r>
        <w:rPr/>
        <w:t xml:space="preserve">(c) Law enforcement officers shall use law enforcement databases to assist in locating the party in situations where the protected person does not know where the party lives or where there is evidence that the party is trying to evade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2023 c 462 s 403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or 10.99.100,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(6)(a) Courts shall develop procedures to verify timely and complete compliance with orders to surrender and prohibit weapons under RCW 9.41.800 or 10.99.100, including compliance review hearings to be held as soon as possible upon receipt from law enforcement of proof of service. For any case where the court has indication that the respondent has in the respondent's possession, custody, or control firearms, dangerous weapons, or a concealed pistol license </w:t>
      </w:r>
      <w:r>
        <w:rPr>
          <w:u w:val="single"/>
        </w:rPr>
        <w:t xml:space="preserve">or permit to purchase firearms</w:t>
      </w:r>
      <w:r>
        <w:rPr/>
        <w:t xml:space="preserve">, a compliance review hearing shall be held. A compliance review hearing may be waived by the court or held at a later date if the information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and the court is able to make a finding of compliance. If the court does not have a sufficient record before it on which to make such a finding, the court must set a review hearing to occur as soon as possible and service by law enforcement shall be prioritized to minimize the time during which the respondent could access their firearms, dangerous weapons, </w:t>
      </w:r>
      <w:r>
        <w:t>((</w:t>
      </w:r>
      <w:r>
        <w:rPr>
          <w:strike/>
        </w:rPr>
        <w:t xml:space="preserve">or</w:t>
      </w:r>
      <w:r>
        <w:t>))</w:t>
      </w:r>
      <w:r>
        <w:rPr/>
        <w:t xml:space="preserve"> concealed pistol license</w:t>
      </w:r>
      <w:r>
        <w:rPr>
          <w:u w:val="single"/>
        </w:rPr>
        <w:t xml:space="preserve">, or permit to purchase firearms</w:t>
      </w:r>
      <w:r>
        <w:rPr/>
        <w:t xml:space="preserve">.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w:t>
      </w:r>
      <w:r>
        <w:rPr>
          <w:u w:val="single"/>
        </w:rPr>
        <w:t xml:space="preserve">or permit to purchase firearms</w:t>
      </w:r>
      <w:r>
        <w:rPr/>
        <w:t xml:space="preserve"> in the person's custody, control, or possession.</w:t>
      </w:r>
    </w:p>
    <w:p>
      <w:pPr>
        <w:spacing w:before="0" w:after="0" w:line="408" w:lineRule="exact"/>
        <w:ind w:left="0" w:right="0" w:firstLine="576"/>
        <w:jc w:val="left"/>
      </w:pPr>
      <w:r>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w:t>
      </w:r>
      <w:r>
        <w:rPr>
          <w:u w:val="single"/>
        </w:rPr>
        <w:t xml:space="preserve">and permit to purchase firearms</w:t>
      </w:r>
      <w:r>
        <w:rPr/>
        <w:t xml:space="preserv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issue an arrest warrant and initiate a contempt proceeding to impose remedial sanctions on its own motion, or upon the motion of the prosecutor, city attorney, or the petitioner's counsel, and issue an order requiring the respondent to appear, with additional sanctions for failure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w:t>
      </w:r>
      <w:r>
        <w:t>((</w:t>
      </w:r>
      <w:r>
        <w:rPr>
          <w:strike/>
        </w:rPr>
        <w:t xml:space="preserve">has</w:t>
      </w:r>
      <w:r>
        <w:t>))</w:t>
      </w:r>
      <w:r>
        <w:rPr/>
        <w:t xml:space="preserve"> </w:t>
      </w:r>
      <w:r>
        <w:rPr>
          <w:u w:val="single"/>
        </w:rPr>
        <w:t xml:space="preserve">have</w:t>
      </w:r>
      <w:r>
        <w:rPr/>
        <w:t xml:space="preserve"> been surrendered and an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or submit written information at any hearing that concerns compliance with an order to surrender and prohibit weapons.</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The act of voluntarily surrendering firearms or weapons, providing testimony relating to the surrender of firearms or weapons, or complying with an order to surrender and prohibit weapons issued pursuant to RCW 9.41.800 or 10.99.100, and any information directly or indirectly derived from such act or testimony, may not be used against the person subject to the order in any criminal prosecution under this chapter, chapter 7.105 RCW, or RCW 9A.56.310, or in any criminal prosecution pursuant to which such order to surrender and prohibit weapons was issued, except a prosecution for perjury, giving a false statement, or otherwise failing to comply with the order. Every such order issued subsequent to July 23, 2023, shall contain language consistent with the statutory immunity set forth in this subsection.</w:t>
      </w:r>
    </w:p>
    <w:p>
      <w:pPr>
        <w:spacing w:before="0" w:after="0" w:line="408" w:lineRule="exact"/>
        <w:ind w:left="0" w:right="0" w:firstLine="576"/>
        <w:jc w:val="left"/>
      </w:pPr>
      <w:r>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rPr>
        <w:t xml:space="preserve">State v. Bone-Club</w:t>
      </w:r>
      <w:r>
        <w:rPr/>
        <w:t xml:space="preserve">, 128 wn.2d 254, and concludes that the courtroom may be closed.</w:t>
      </w:r>
    </w:p>
    <w:p>
      <w:pPr>
        <w:spacing w:before="0" w:after="0" w:line="408" w:lineRule="exact"/>
        <w:ind w:left="0" w:right="0" w:firstLine="576"/>
        <w:jc w:val="left"/>
      </w:pPr>
      <w:r>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w:t>
      </w:r>
      <w:r>
        <w:t>((</w:t>
      </w:r>
      <w:r>
        <w:rPr>
          <w:strike/>
        </w:rPr>
        <w:t xml:space="preserve">and</w:t>
      </w:r>
      <w:r>
        <w:t>))</w:t>
      </w:r>
      <w:r>
        <w:rPr/>
        <w:t xml:space="preserve"> concealed pistol license</w:t>
      </w:r>
      <w:r>
        <w:rPr>
          <w:u w:val="single"/>
        </w:rPr>
        <w:t xml:space="preserve">, and permit to purchase firearms</w:t>
      </w:r>
      <w:r>
        <w:rPr/>
        <w:t xml:space="preserve"> that does not implicate a realistic threat of self-incrimination. The order's prohibitions regarding accessing, purchasing, receiving, or attempting to purchase or receive, any firearms or other dangerous weapons, or </w:t>
      </w:r>
      <w:r>
        <w:rPr>
          <w:u w:val="single"/>
        </w:rPr>
        <w:t xml:space="preserve">any</w:t>
      </w:r>
      <w:r>
        <w:rPr/>
        <w:t xml:space="preserve"> concealed pistol license </w:t>
      </w:r>
      <w:r>
        <w:rPr>
          <w:u w:val="single"/>
        </w:rPr>
        <w:t xml:space="preserve">or permit to purchase firearms</w:t>
      </w:r>
      <w:r>
        <w:rPr/>
        <w:t xml:space="preserve">, remain in effect.</w:t>
      </w:r>
    </w:p>
    <w:p>
      <w:pPr>
        <w:spacing w:before="0" w:after="0" w:line="408" w:lineRule="exact"/>
        <w:ind w:left="0" w:right="0" w:firstLine="576"/>
        <w:jc w:val="left"/>
      </w:pPr>
      <w:r>
        <w:rPr/>
        <w:t xml:space="preserve">(e) Nothing in this section shall be interpreted as diminishing the requirement that the person subject to the order fully comply with the order issued by the court. The burden remains on the person subject to the order to prove compliance.</w:t>
      </w:r>
    </w:p>
    <w:p>
      <w:pPr>
        <w:spacing w:before="0" w:after="0" w:line="408" w:lineRule="exact"/>
        <w:ind w:left="0" w:right="0" w:firstLine="576"/>
        <w:jc w:val="left"/>
      </w:pPr>
      <w:r>
        <w:rPr/>
        <w:t xml:space="preserve">(10)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(11)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(12)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ex parte and full orders issued under this chapter by each court, 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2023 c 462 s 404 are each amended to read as follows:</w:t>
      </w:r>
    </w:p>
    <w:p>
      <w:pPr>
        <w:spacing w:before="0" w:after="0" w:line="408" w:lineRule="exact"/>
        <w:ind w:left="0" w:right="0" w:firstLine="576"/>
        <w:jc w:val="left"/>
      </w:pPr>
      <w:r>
        <w:rPr/>
        <w:t xml:space="preserve">(1) To prove full compliance with the court's order to surrender firearms, dangerous weapons, and any concealed pistol license </w:t>
      </w:r>
      <w:r>
        <w:rPr>
          <w:u w:val="single"/>
        </w:rPr>
        <w:t xml:space="preserve">or permit to purchase firearms</w:t>
      </w:r>
      <w:r>
        <w:rPr/>
        <w:t xml:space="preserve"> under RCW 9.41.800</w:t>
      </w:r>
      <w:r>
        <w:rPr>
          <w:u w:val="single"/>
        </w:rPr>
        <w:t xml:space="preserve">,</w:t>
      </w:r>
      <w:r>
        <w:rPr/>
        <w:t xml:space="preserve"> the person subject to the order must file with the clerk of the court: (a) A completed proof of surrender and receipt form; (b) a declaration that the person has no firearms, dangerous weapons, </w:t>
      </w:r>
      <w:r>
        <w:t>((</w:t>
      </w:r>
      <w:r>
        <w:rPr>
          <w:strike/>
        </w:rPr>
        <w:t xml:space="preserve">or</w:t>
      </w:r>
      <w:r>
        <w:t>))</w:t>
      </w:r>
      <w:r>
        <w:rPr/>
        <w:t xml:space="preserve"> concealed pistol license</w:t>
      </w:r>
      <w:r>
        <w:rPr>
          <w:u w:val="single"/>
        </w:rPr>
        <w:t xml:space="preserve">, or permit to purchase firearms</w:t>
      </w:r>
      <w:r>
        <w:rPr/>
        <w:t xml:space="preserve">; or (c) other evidence sufficient to establish full and timely compliance with the order.</w:t>
      </w:r>
    </w:p>
    <w:p>
      <w:pPr>
        <w:spacing w:before="0" w:after="0" w:line="408" w:lineRule="exact"/>
        <w:ind w:left="0" w:right="0" w:firstLine="576"/>
        <w:jc w:val="left"/>
      </w:pPr>
      <w:r>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w:t>
      </w:r>
      <w:r>
        <w:rPr>
          <w:u w:val="single"/>
        </w:rPr>
        <w:t xml:space="preserve">or permit to purchase firearms</w:t>
      </w:r>
      <w:r>
        <w:rPr/>
        <w:t xml:space="preserv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w:t>
      </w:r>
      <w:r>
        <w:t>((</w:t>
      </w:r>
      <w:r>
        <w:rPr>
          <w:strike/>
        </w:rPr>
        <w:t xml:space="preserve">and</w:t>
      </w:r>
      <w:r>
        <w:t>))</w:t>
      </w:r>
      <w:r>
        <w:rPr/>
        <w:t xml:space="preserve"> concealed pistol license</w:t>
      </w:r>
      <w:r>
        <w:rPr>
          <w:u w:val="single"/>
        </w:rPr>
        <w:t xml:space="preserve">, and permit to purchase firearms</w:t>
      </w:r>
      <w:r>
        <w:rPr/>
        <w:t xml:space="preserv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t xml:space="preserve">(3) By December 30, 2023, the administrative office of the courts shall develop and distribute any new or updated forms necessary to implement subsections (1) and (2) of this section, and other sections of chapter 462, Laws of 2023 where a form needs to be created or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2023 c 462 s 405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or subject to the respondent's immediate possession or control,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the respondent's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the officer's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the respondent's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 and that a law enforcement agency with authority to revoke the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or submit written information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2023 c 462 s 702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requiring the person to submit to electronic monitoring,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the person's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2023 c 470 s 1001 are each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2023 c 462 s 302 and 2023 c 320 s 1 are each reenacted and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the attorney's client the victim's location;</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(e) Shall not deny issuance of a no-contact order based on the existence of an applicable civil protection order preventing the defendant from contacting the victim;</w:t>
      </w:r>
    </w:p>
    <w:p>
      <w:pPr>
        <w:spacing w:before="0" w:after="0" w:line="408" w:lineRule="exact"/>
        <w:ind w:left="0" w:right="0" w:firstLine="576"/>
        <w:jc w:val="left"/>
      </w:pPr>
      <w:r>
        <w:rPr/>
        <w:t xml:space="preserve">(f) When issuing a no-contact order, shall attempt to determine whether there are any other active no-contact orders, protection orders, or restraining orders involving the defendant to assist the court in ensuring that any no-contact order it may impose does not lessen protections imposed by other courts under other such orders; and</w:t>
      </w:r>
    </w:p>
    <w:p>
      <w:pPr>
        <w:spacing w:before="0" w:after="0" w:line="408" w:lineRule="exact"/>
        <w:ind w:left="0" w:right="0" w:firstLine="576"/>
        <w:jc w:val="left"/>
      </w:pPr>
      <w:r>
        <w:rPr/>
        <w:t xml:space="preserve">(g) Shall not deny issuance of a no-contact order based on the existence of an applicable civil protection order preventing the defendant from contacting the victim.</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and others. The jurisdiction authorizing the release shall determine whether that person should be prohibited from having any contact with the victim. The court authorizing release may issue a no-contact order that:</w:t>
      </w:r>
    </w:p>
    <w:p>
      <w:pPr>
        <w:spacing w:before="0" w:after="0" w:line="408" w:lineRule="exact"/>
        <w:ind w:left="0" w:right="0" w:firstLine="576"/>
        <w:jc w:val="left"/>
      </w:pPr>
      <w:r>
        <w:rPr/>
        <w:t xml:space="preserve">(i) Prohibits the person charged or arrested from making any attempt to contact, including nonphysical contact, the victim or the victim's family or household members, either directly, indirectly, or through a third party;</w:t>
      </w:r>
    </w:p>
    <w:p>
      <w:pPr>
        <w:spacing w:before="0" w:after="0" w:line="408" w:lineRule="exact"/>
        <w:ind w:left="0" w:right="0" w:firstLine="576"/>
        <w:jc w:val="left"/>
      </w:pPr>
      <w:r>
        <w:rPr/>
        <w:t xml:space="preserve">(ii) Excludes the defendant from a residence shared with the victim, or from a workplace, school, or child care;</w:t>
      </w:r>
    </w:p>
    <w:p>
      <w:pPr>
        <w:spacing w:before="0" w:after="0" w:line="408" w:lineRule="exact"/>
        <w:ind w:left="0" w:right="0" w:firstLine="576"/>
        <w:jc w:val="left"/>
      </w:pPr>
      <w:r>
        <w:rPr/>
        <w:t xml:space="preserve">(iii) Prohibits the person from knowingly coming within, or knowingly remaining within, a specified distance of a location or vehicle; and</w:t>
      </w:r>
    </w:p>
    <w:p>
      <w:pPr>
        <w:spacing w:before="0" w:after="0" w:line="408" w:lineRule="exact"/>
        <w:ind w:left="0" w:right="0" w:firstLine="576"/>
        <w:jc w:val="left"/>
      </w:pPr>
      <w:r>
        <w:rPr/>
        <w:t xml:space="preserve">(iv) Includes other related prohibitions to reduce risk of harm.</w:t>
      </w:r>
    </w:p>
    <w:p>
      <w:pPr>
        <w:spacing w:before="0" w:after="0" w:line="408" w:lineRule="exact"/>
        <w:ind w:left="0" w:right="0" w:firstLine="576"/>
        <w:jc w:val="left"/>
      </w:pPr>
      <w:r>
        <w:rPr/>
        <w:t xml:space="preserve">(b) 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that the defendant owns or has access to, and whether the defendant has a concealed pistol license </w:t>
      </w:r>
      <w:r>
        <w:rPr>
          <w:u w:val="single"/>
        </w:rPr>
        <w:t xml:space="preserve">or permit to purchase firearms</w:t>
      </w:r>
      <w:r>
        <w:rPr/>
        <w:t xml:space="preserve">. If the sworn statement of a peace officer or other information provided to the court indicates there may be a risk of harm if the defendant has access to firearms, dangerous weapons, or an active concealed pistol license </w:t>
      </w:r>
      <w:r>
        <w:rPr>
          <w:u w:val="single"/>
        </w:rPr>
        <w:t xml:space="preserve">or permit to purchase firearms</w:t>
      </w:r>
      <w:r>
        <w:rPr/>
        <w:t xml:space="preserve">, the court shall verify that peace officers have temporarily removed and secured all the firearms, dangerous weapons, and any concealed pistol license </w:t>
      </w:r>
      <w:r>
        <w:rPr>
          <w:u w:val="single"/>
        </w:rPr>
        <w:t xml:space="preserve">or permit to purchase firearms</w:t>
      </w:r>
      <w:r>
        <w:rPr/>
        <w:t xml:space="preserve">. The court shall then determine whether an order to surrender and prohibit weapons or an extreme risk protection order should be issued pursuant to RCW 9.41.800 or chapter 7.105 RCW, prohibiting the defendant from possessing, purchasing, receiving, having in the defendant's control or custody, accessing, or attempting to purchase or receive, any firearms, dangerous weapons, and any concealed pistol license </w:t>
      </w:r>
      <w:r>
        <w:rPr>
          <w:u w:val="single"/>
        </w:rPr>
        <w:t xml:space="preserve">and permit to purchase firearms,</w:t>
      </w:r>
      <w:r>
        <w:rPr/>
        <w:t xml:space="preserve"> and shall order the defendant to surrender, and prohibit the defendant from possessing, any firearms, dangerous weapons, and any concealed pistol license </w:t>
      </w:r>
      <w:r>
        <w:rPr>
          <w:u w:val="single"/>
        </w:rPr>
        <w:t xml:space="preserve">and permit to purchase firearms,</w:t>
      </w:r>
      <w:r>
        <w:rPr/>
        <w:t xml:space="preserve"> as required in RCW 9.41.800, or shall issue an extreme risk protection order as required by chapter 7.105 RCW. The court may make these determinations on the record or off the record with a written explanation when declining to impose the restrictions authorized in this subsection.</w:t>
      </w:r>
    </w:p>
    <w:p>
      <w:pPr>
        <w:spacing w:before="0" w:after="0" w:line="408" w:lineRule="exact"/>
        <w:ind w:left="0" w:right="0" w:firstLine="576"/>
        <w:jc w:val="left"/>
      </w:pPr>
      <w:r>
        <w:rPr/>
        <w:t xml:space="preserve">(3)(a) At the time of arraignment, the court shall review the defendant's firearms purchase history provided by the prosecutor pursuant to RCW 10.99.045, and any other firearms information provided by law enforcement or court or jail staff, and shall determine whether a no-contact order, an order to surrender and prohibit weapons, or an extreme risk protection order shall be issued or, if previously issued, extended.</w:t>
      </w:r>
    </w:p>
    <w:p>
      <w:pPr>
        <w:spacing w:before="0" w:after="0" w:line="408" w:lineRule="exact"/>
        <w:ind w:left="0" w:right="0" w:firstLine="576"/>
        <w:jc w:val="left"/>
      </w:pPr>
      <w:r>
        <w:rPr/>
        <w:t xml:space="preserve">(b) So long as the court finds probable cause, the court may issue or extend a no-contact order, an order to surrender and prohibit weapons, or an extreme risk protection order, even if the defendant fails to appear at arraignment. The no-contact order shall terminate if the defendant is acquitted or the charges are dismissed. To the extent the court is aware, the court shall advise the defendant of the ongoing requirements of any other no-contact, restraining, or protection order that remains in effect.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pay the costs of the electronic monitoring. 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this section is punishable as provided under RCW 7.105.450 or 7.105.460</w:t>
      </w:r>
      <w:r>
        <w:t>((</w:t>
      </w:r>
      <w:r>
        <w:rPr>
          <w:strike/>
        </w:rPr>
        <w:t xml:space="preserve">,</w:t>
      </w:r>
      <w:r>
        <w:t>))</w:t>
      </w:r>
      <w:r>
        <w:rPr/>
        <w:t xml:space="preserve"> or chapter 9.41 RCW.</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(5)(a) A peace officer may request, on an ex parte basis and before criminal charges or a petition for a protection order or an extreme risk protection order have been filed,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 An emergency no-contact order issued by a court will remain in effect until either the court terminates the emergency no-contact order, the court finds probable cause for a referred crime, or an ex parte hearing is held on a petition for a protection order or extreme risk protection order.</w:t>
      </w:r>
    </w:p>
    <w:p>
      <w:pPr>
        <w:spacing w:before="0" w:after="0" w:line="408" w:lineRule="exact"/>
        <w:ind w:left="0" w:right="0" w:firstLine="576"/>
        <w:jc w:val="left"/>
      </w:pPr>
      <w:r>
        <w:rPr/>
        <w:t xml:space="preserve">(b) If the court issues an order to surrender and prohibit weapons or an extreme risk protection order, and has not verified that peace officers have temporarily removed and secured all firearms and dangerous weapons, and any concealed pistol license </w:t>
      </w:r>
      <w:r>
        <w:rPr>
          <w:u w:val="single"/>
        </w:rPr>
        <w:t xml:space="preserve">and permit to purchase firearms</w:t>
      </w:r>
      <w:r>
        <w:rPr/>
        <w:t xml:space="preserve">, all orders issued by the court must be personally served by a peace officer and the peace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as required by RCW 9.41.801.</w:t>
      </w:r>
    </w:p>
    <w:p>
      <w:pPr>
        <w:spacing w:before="0" w:after="0" w:line="408" w:lineRule="exact"/>
        <w:ind w:left="0" w:right="0" w:firstLine="576"/>
        <w:jc w:val="left"/>
      </w:pPr>
      <w:r>
        <w:rPr/>
        <w:t xml:space="preserve">(c) If the court does not issue an order to surrender and prohibit weapons or an extreme risk protection order, or has verified that all firearms, dangerous weapons, and any concealed pistol license </w:t>
      </w:r>
      <w:r>
        <w:rPr>
          <w:u w:val="single"/>
        </w:rPr>
        <w:t xml:space="preserve">and permit to purchase firearms</w:t>
      </w:r>
      <w:r>
        <w:rPr/>
        <w:t xml:space="preserv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t xml:space="preserve">(6)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(7) Whenever an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(8) For the purposes of this section, and unless context clearly requires otherwise, "emergency no-contact order" means a no-contact order issued by a court of competent jurisdiction before criminal charges have been filed or before a petition for a protection order or extreme risk protection order has been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2882a9cc8420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5d297dd8d4c63" /><Relationship Type="http://schemas.openxmlformats.org/officeDocument/2006/relationships/footer" Target="/word/footer1.xml" Id="R2882a9cc842042ec" /></Relationships>
</file>