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db89773ea4a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Lovelett, Shewmake, Dhingra, Frame, Hasegawa, Keiser, Liias, Nguyen, Nobles, and Saldaña)</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geothermal energy resources; amending RCW 79.13.530; adding a new section to chapter 43.92 RCW; adding a new section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the department of natural resources, the department of fish and wildlife, and the department of archaeology and historic preservation,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address,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0" w:after="0" w:line="408" w:lineRule="exact"/>
        <w:ind w:left="0" w:right="0" w:firstLine="576"/>
        <w:jc w:val="left"/>
      </w:pPr>
      <w:r>
        <w:rPr/>
        <w:t xml:space="preserve">(5) The interagency clean energy siting coordinating council must support the department of ecology during the collaborative process. The interagency clean energy siting coordinating council must consider the findings of the interim update and final report and make recommendations to the legislature and governor on potential actions regarding the development of geothermal energy, as appropriate. Based on the findings of the collaborative process, the interagency clean energy siting coordinating council must identify key factors for consideration in planning and siting of geothermal facilities. These key factors include, but are not limited to, geologic suitability, water resource impacts, and proximity to electrical transmission and distribution infrastructure.</w:t>
      </w:r>
    </w:p>
    <w:p/>
    <w:p>
      <w:pPr>
        <w:jc w:val="center"/>
      </w:pPr>
      <w:r>
        <w:rPr>
          <w:b/>
        </w:rPr>
        <w:t>--- END ---</w:t>
      </w:r>
    </w:p>
    <w:sectPr>
      <w:pgNumType w:start="1"/>
      <w:footerReference xmlns:r="http://schemas.openxmlformats.org/officeDocument/2006/relationships" r:id="R1bc36514537c48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ef642ceda41a4" /><Relationship Type="http://schemas.openxmlformats.org/officeDocument/2006/relationships/footer" Target="/word/footer1.xml" Id="R1bc36514537c488d" /></Relationships>
</file>