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c7b6ab13b48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6058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Nguyen, Hunt, Kuderer, Liias, Mullet, Pedersen, Saldaña, Shewmake, and Stanford; by request of Department of Ecology)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Washington" means electricity that is generated outside the state of Washington and delivered into Washington with the final point of delivery outside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w:t>
      </w:r>
      <w:r>
        <w:rPr>
          <w:u w:val="single"/>
        </w:rPr>
        <w:t xml:space="preserve">Take into consideration current Washington forest practices rules and the state's unique forest species and structures;</w:t>
      </w:r>
    </w:p>
    <w:p>
      <w:pPr>
        <w:spacing w:before="0" w:after="0" w:line="408" w:lineRule="exact"/>
        <w:ind w:left="0" w:right="0" w:firstLine="576"/>
        <w:jc w:val="left"/>
      </w:pPr>
      <w:r>
        <w:rPr>
          <w:u w:val="single"/>
        </w:rPr>
        <w:t xml:space="preserve">(c)</w:t>
      </w:r>
      <w:r>
        <w:rPr/>
        <w:t xml:space="preserve">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5f174aaae9e841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48cdb06374844" /><Relationship Type="http://schemas.openxmlformats.org/officeDocument/2006/relationships/footer" Target="/word/footer1.xml" Id="R5f174aaae9e8411e" /></Relationships>
</file>