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a3c2d8ed724f65" /></Relationships>
</file>

<file path=word/document.xml><?xml version="1.0" encoding="utf-8"?>
<w:document xmlns:w="http://schemas.openxmlformats.org/wordprocessingml/2006/main">
  <w:body>
    <w:p>
      <w:r>
        <w:t>S-4444.4</w:t>
      </w:r>
    </w:p>
    <w:p>
      <w:pPr>
        <w:jc w:val="center"/>
      </w:pPr>
      <w:r>
        <w:t>_______________________________________________</w:t>
      </w:r>
    </w:p>
    <w:p/>
    <w:p>
      <w:pPr>
        <w:jc w:val="center"/>
      </w:pPr>
      <w:r>
        <w:rPr>
          <w:b/>
        </w:rPr>
        <w:t>SUBSTITUTE SENATE BILL 6061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Lovelett and Salomon)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housing development under the state environmental policy act; amending RCW 43.21C.229;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w:t>
      </w:r>
      <w:r>
        <w:t>((</w:t>
      </w:r>
      <w:r>
        <w:rPr>
          <w:strike/>
        </w:rPr>
        <w:t xml:space="preserve">and housing development</w:t>
      </w:r>
      <w:r>
        <w:t>))</w:t>
      </w:r>
      <w:r>
        <w:rPr/>
        <w:t xml:space="preserve">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w:t>
      </w:r>
      <w:r>
        <w:t>((</w:t>
      </w:r>
      <w:r>
        <w:rPr>
          <w:strike/>
        </w:rPr>
        <w:t xml:space="preserve">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strike/>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strike/>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strike/>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strike/>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strike/>
        </w:rPr>
        <w:t xml:space="preserve">(iii) The categorical exemption is effective 30 days following action by a city or county pursuant to (b)(ii) of this subsection (3).</w:t>
      </w:r>
    </w:p>
    <w:p>
      <w:pPr>
        <w:spacing w:before="0" w:after="0" w:line="408" w:lineRule="exact"/>
        <w:ind w:left="0" w:right="0" w:firstLine="576"/>
        <w:jc w:val="left"/>
      </w:pPr>
      <w:r>
        <w:rPr>
          <w:strike/>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strike/>
        </w:rPr>
        <w:t xml:space="preserve">(5)</w:t>
      </w:r>
      <w:r>
        <w:t>))</w:t>
      </w:r>
      <w:r>
        <w:rPr/>
        <w:t xml:space="preserve">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purpose of this section is to accommodate housing development and thereby realize the goals and policies of comprehensive plans adopted according to chapter 36.70A RCW.</w:t>
      </w:r>
    </w:p>
    <w:p>
      <w:pPr>
        <w:spacing w:before="0" w:after="0" w:line="408" w:lineRule="exact"/>
        <w:ind w:left="0" w:right="0" w:firstLine="576"/>
        <w:jc w:val="left"/>
      </w:pPr>
      <w:r>
        <w:rPr/>
        <w:t xml:space="preserve">(2)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through (c) of this subsection, are categorically exempt from the requirements of this chapter. Jurisdictions shall satisfy the following criteria prior to the adoption of this categorical exemption:</w:t>
      </w:r>
    </w:p>
    <w:p>
      <w:pPr>
        <w:spacing w:before="0" w:after="0" w:line="408" w:lineRule="exact"/>
        <w:ind w:left="0" w:right="0" w:firstLine="576"/>
        <w:jc w:val="left"/>
      </w:pPr>
      <w:r>
        <w:rPr/>
        <w:t xml:space="preserve">(a) The city or county has determined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w:t>
      </w:r>
    </w:p>
    <w:p>
      <w:pPr>
        <w:spacing w:before="0" w:after="0" w:line="408" w:lineRule="exact"/>
        <w:ind w:left="0" w:right="0" w:firstLine="576"/>
        <w:jc w:val="left"/>
      </w:pPr>
      <w:r>
        <w:rPr/>
        <w:t xml:space="preserve">(b) The city or county has determined the proposed development is capable of being connected to an established sewer system at the time of construction; and</w:t>
      </w:r>
    </w:p>
    <w:p>
      <w:pPr>
        <w:spacing w:before="0" w:after="0" w:line="408" w:lineRule="exact"/>
        <w:ind w:left="0" w:right="0" w:firstLine="576"/>
        <w:jc w:val="left"/>
      </w:pPr>
      <w:r>
        <w:rPr/>
        <w:t xml:space="preserve">(c) The city or county has prepared an environmental analysis that considers the proposed use or density and intensity of use in the jurisdiction's comprehensive plan under this section and an analysis of multimodal transportation impacts, including impacts to neighboring jurisdictions, transit facilities, and the state transportation system.</w:t>
      </w:r>
    </w:p>
    <w:p>
      <w:pPr>
        <w:spacing w:before="0" w:after="0" w:line="408" w:lineRule="exact"/>
        <w:ind w:left="0" w:right="0" w:firstLine="576"/>
        <w:jc w:val="left"/>
      </w:pPr>
      <w:r>
        <w:rPr/>
        <w:t xml:space="preserve">(i) Such an environmental analysis must include documentation that the requirements for environmental analysis, protection, and mitigation for impacts to elements of the environment have been adequately addressed for the development exempted. Such an environmental analysis must include documentation that the requirements for analysis and protection of cultural resources, and mitigation for impacts to cultural resources, if mitigation is possible,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t xml:space="preserve">(ii) Before finalizing the environmental analysis pursuant to (c)(i) of this subsection,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(2)(c) through locally adopted comprehensive plans, subarea plans, development regulations, or other applicable local ordinances and regulations. Mitigation measures must be detailed in an associated environmental determination.</w:t>
      </w:r>
    </w:p>
    <w:p>
      <w:pPr>
        <w:spacing w:before="0" w:after="0" w:line="408" w:lineRule="exact"/>
        <w:ind w:left="0" w:right="0" w:firstLine="576"/>
        <w:jc w:val="left"/>
      </w:pPr>
      <w:r>
        <w:rPr/>
        <w:t xml:space="preserve">(iii) The categorical exemption is effective 30 days following action by a city or county pursuant to (c)(ii) of this subsection.</w:t>
      </w:r>
    </w:p>
    <w:p>
      <w:pPr>
        <w:spacing w:before="0" w:after="0" w:line="408" w:lineRule="exact"/>
        <w:ind w:left="0" w:right="0" w:firstLine="576"/>
        <w:jc w:val="left"/>
      </w:pPr>
      <w:r>
        <w:rPr/>
        <w:t xml:space="preserve">(d) A city or county must take action to establish the categorical exemption by the date of the jurisdiction's next required implementation progress report or five years after the jurisdiction's next comprehensive plan review and revision under RCW 36.70A.130 if the jurisdiction is not required to do an implementation progress report under RCW 36.70A.130.</w:t>
      </w:r>
    </w:p>
    <w:p>
      <w:pPr>
        <w:spacing w:before="0" w:after="0" w:line="408" w:lineRule="exact"/>
        <w:ind w:left="0" w:right="0" w:firstLine="576"/>
        <w:jc w:val="left"/>
      </w:pPr>
      <w:r>
        <w:rPr/>
        <w:t xml:space="preserve">(3)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must utilize the categorical exemption in subsection (2) of this section.</w:t>
      </w:r>
    </w:p>
    <w:p>
      <w:pPr>
        <w:spacing w:before="0" w:after="0" w:line="408" w:lineRule="exact"/>
        <w:ind w:left="0" w:right="0" w:firstLine="576"/>
        <w:jc w:val="left"/>
      </w:pPr>
      <w:r>
        <w:rPr/>
        <w:t xml:space="preserve">(4) Any categorical exemption adopted by a city or county under this section applies even if it differs from the categorical exemptions adopted by rule of the department of ecology under RCW 43.21C.110(1)(a). Nothing in this section invalidates categorical exemptions or environmental review procedures adopted by a city or county under a planned action pursuant to RCW 43.21C.440. However, any categorical exemption under this section is subject to the rules of the department of ecology adopted according to RCW 43.21C.110(1)(a) that provide exceptions to the use of categorical exemptions adopted by the department of ecology.</w:t>
      </w:r>
    </w:p>
    <w:p>
      <w:pPr>
        <w:spacing w:before="0" w:after="0" w:line="408" w:lineRule="exact"/>
        <w:ind w:left="0" w:right="0" w:firstLine="576"/>
        <w:jc w:val="left"/>
      </w:pPr>
      <w:r>
        <w:rPr/>
        <w:t xml:space="preserve">(5) For purposes of this section, "middle housing" has the same meaning as defined in RCW 36.70A.030.</w:t>
      </w:r>
    </w:p>
    <w:p/>
    <w:p>
      <w:pPr>
        <w:jc w:val="center"/>
      </w:pPr>
      <w:r>
        <w:rPr>
          <w:b/>
        </w:rPr>
        <w:t>--- END ---</w:t>
      </w:r>
    </w:p>
    <w:sectPr>
      <w:pgNumType w:start="1"/>
      <w:footerReference xmlns:r="http://schemas.openxmlformats.org/officeDocument/2006/relationships" r:id="Rbd858f49eb4244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475b50e954deb" /><Relationship Type="http://schemas.openxmlformats.org/officeDocument/2006/relationships/footer" Target="/word/footer1.xml" Id="Rbd858f49eb42440a" /></Relationships>
</file>