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760a952584d68" /></Relationships>
</file>

<file path=word/document.xml><?xml version="1.0" encoding="utf-8"?>
<w:document xmlns:w="http://schemas.openxmlformats.org/wordprocessingml/2006/main">
  <w:body>
    <w:p>
      <w:r>
        <w:t>S-3872.1</w:t>
      </w:r>
    </w:p>
    <w:p>
      <w:pPr>
        <w:jc w:val="center"/>
      </w:pPr>
      <w:r>
        <w:t>_______________________________________________</w:t>
      </w:r>
    </w:p>
    <w:p/>
    <w:p>
      <w:pPr>
        <w:jc w:val="center"/>
      </w:pPr>
      <w:r>
        <w:rPr>
          <w:b/>
        </w:rPr>
        <w:t>SENATE BILL 6063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Pedersen, Dhingra, Hasegawa, Kuderer, Nguyen, Saldaña, Wellman, and C. Wilson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persistent offender to exclude convictions for offenses committed by someone under the age of 18 and providing for resentencing; amending RCW 9.94A.030;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wherein an offender has been sentenced as a persistent offender, the offender must have a resentencing hearing if a conviction for an offense that occurred when the offender was under the age of 18 was used as a basis for the finding that the offender was a persistent offender. The prosecuting attorney for the county in which any offender was sentenced as a persistent offender shall review each sentencing document. If a conviction for an offense that occurred when the offender was under the age of 18 was used as a basis for a finding that an offender was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conviction for an offense that was committed when the offender was under the age of 18 was used as a basis for a finding that the offender was a persistent offender and shall immediately set an expedited date for resentencing. At resentencing, the court shall sentence the offender as if the conviction for an offense occurring under the age of 18 was not a most serious offense at the time the original sentence was imposed.</w:t>
      </w:r>
    </w:p>
    <w:p>
      <w:pPr>
        <w:spacing w:before="0" w:after="0" w:line="408" w:lineRule="exact"/>
        <w:ind w:left="0" w:right="0" w:firstLine="576"/>
        <w:jc w:val="left"/>
      </w:pPr>
      <w:r>
        <w:rPr/>
        <w:t xml:space="preserve">(3) Notwithstanding the provisions of RCW 9.94A.345, for purposes of resentencing under this section or sentencing any person as a persistent offender after the effective date of this section, an offense occurring when the offender was under the age of 18 shall not be considered a most serious offense regardless of whether the offense was committed before, on, or after the effective date of chapter 187, Laws of 2019, July 28,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w:t>
      </w:r>
      <w:r>
        <w:t>((</w:t>
      </w:r>
      <w:r>
        <w:rPr>
          <w:strike/>
        </w:rPr>
        <w:t xml:space="preserve">(7)</w:t>
      </w:r>
      <w:r>
        <w:t>))</w:t>
      </w:r>
      <w:r>
        <w:rPr/>
        <w:t xml:space="preserve"> </w:t>
      </w:r>
      <w:r>
        <w:rPr>
          <w:u w:val="single"/>
        </w:rPr>
        <w:t xml:space="preserve">(8)</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w:t>
      </w:r>
      <w:r>
        <w:rPr>
          <w:u w:val="single"/>
        </w:rPr>
        <w:t xml:space="preserve">and was 18 years of age or older on the offense date</w:t>
      </w:r>
      <w:r>
        <w:rPr/>
        <w:t xml:space="preserve">; and</w:t>
      </w:r>
    </w:p>
    <w:p>
      <w:pPr>
        <w:spacing w:before="0" w:after="0" w:line="408" w:lineRule="exact"/>
        <w:ind w:left="0" w:right="0" w:firstLine="576"/>
        <w:jc w:val="left"/>
      </w:pPr>
      <w:r>
        <w:rPr/>
        <w:t xml:space="preserve">(ii) Has, before the commission of the offense under (a) of this subsection, been convicted as an offender</w:t>
      </w:r>
      <w:r>
        <w:rPr>
          <w:u w:val="single"/>
        </w:rPr>
        <w:t xml:space="preserve">, who was 18 years of age or older on the offense date,</w:t>
      </w:r>
      <w:r>
        <w:rPr/>
        <w:t xml:space="preserve">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w:t>
      </w:r>
      <w:r>
        <w:rPr>
          <w:u w:val="single"/>
        </w:rPr>
        <w:t xml:space="preserve">, and was 18 years of age or older on the offense date,</w:t>
      </w:r>
      <w:r>
        <w:rPr/>
        <w:t xml:space="preserve">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w:t>
      </w:r>
      <w:r>
        <w:rPr>
          <w:u w:val="single"/>
        </w:rPr>
        <w:t xml:space="preserve">, who was 18 years of age or older on the offense date,</w:t>
      </w:r>
      <w:r>
        <w:rPr/>
        <w:t xml:space="preserve"> on at least one occasion, whether in this state or elsewhere, of an offense listed in (b)(i) of this subsection or any federal or out-of-state offense or offense under prior Washington law that is comparable to the offenses listed in (b)(i) of this subsection. </w:t>
      </w:r>
      <w:r>
        <w:t>((</w:t>
      </w:r>
      <w:r>
        <w:rPr>
          <w:strike/>
        </w:rPr>
        <w:t xml:space="preserve">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r>
        <w:t>))</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24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e43835eed78249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2c9dc6d1348f0" /><Relationship Type="http://schemas.openxmlformats.org/officeDocument/2006/relationships/footer" Target="/word/footer1.xml" Id="Re43835eed7824978" /></Relationships>
</file>