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6c219d6054292" /></Relationships>
</file>

<file path=word/document.xml><?xml version="1.0" encoding="utf-8"?>
<w:document xmlns:w="http://schemas.openxmlformats.org/wordprocessingml/2006/main">
  <w:body>
    <w:p>
      <w:r>
        <w:t>S-3808.1</w:t>
      </w:r>
    </w:p>
    <w:p>
      <w:pPr>
        <w:jc w:val="center"/>
      </w:pPr>
      <w:r>
        <w:t>_______________________________________________</w:t>
      </w:r>
    </w:p>
    <w:p/>
    <w:p>
      <w:pPr>
        <w:jc w:val="center"/>
      </w:pPr>
      <w:r>
        <w:rPr>
          <w:b/>
        </w:rPr>
        <w:t>SENATE BILL 6066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Padden and Fortunato</w:t>
      </w:r>
    </w:p>
    <w:p/>
    <w:p>
      <w:r>
        <w:rPr>
          <w:t xml:space="preserve">Read first time 01/09/24.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provisions of the Washington death with dignity act; and amending RCW 70.245.090 and 70.245.190.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2023 c 38 s 10 are each amended to read as follows:</w:t>
      </w:r>
    </w:p>
    <w:p>
      <w:pPr>
        <w:spacing w:before="0" w:after="0" w:line="408" w:lineRule="exact"/>
        <w:ind w:left="0" w:right="0" w:firstLine="576"/>
        <w:jc w:val="left"/>
      </w:pPr>
      <w:r>
        <w:rPr/>
        <w:t xml:space="preserve">(1) To receive a prescription for medication that the qualified patient may self-administer to end his or her life in a humane and dignified manner, a qualified patient shall have made an oral request and a written request, and reiterate the oral request to his or her attending qualified medical provider at least seven days after making the initial oral request.</w:t>
      </w:r>
    </w:p>
    <w:p>
      <w:pPr>
        <w:spacing w:before="0" w:after="0" w:line="408" w:lineRule="exact"/>
        <w:ind w:left="0" w:right="0" w:firstLine="576"/>
        <w:jc w:val="left"/>
      </w:pPr>
      <w:r>
        <w:rPr/>
        <w:t xml:space="preserve">(2) At the time the qualified patient makes his or her second oral request, the attending qualified medical provider shall offer the qualified patient an opportunity to rescind the request.</w:t>
      </w:r>
    </w:p>
    <w:p>
      <w:pPr>
        <w:spacing w:before="0" w:after="0" w:line="408" w:lineRule="exact"/>
        <w:ind w:left="0" w:right="0" w:firstLine="576"/>
        <w:jc w:val="left"/>
      </w:pPr>
      <w:r>
        <w:t>((</w:t>
      </w:r>
      <w:r>
        <w:rPr>
          <w:strike/>
        </w:rPr>
        <w:t xml:space="preserve">(3) A transfer of care or medical records does not restart any waiting period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2023 c 38 s 16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qualified medical provider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qualified medical provider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and while at a location that is not on the sanctioning health care provider's facility premises and is not on property that is owned by, leased by, or under the direct control of the sanctioning health care provider; or</w:t>
      </w:r>
    </w:p>
    <w:p>
      <w:pPr>
        <w:spacing w:before="0" w:after="0" w:line="408" w:lineRule="exact"/>
        <w:ind w:left="0" w:right="0" w:firstLine="576"/>
        <w:jc w:val="left"/>
      </w:pPr>
      <w:r>
        <w:rPr/>
        <w:t xml:space="preserve">(B) A patient from contracting with his or her attending qualified medical provider and consulting qualified medical provider to act outside the course and scope of the provider's capacity as an employee or independent contractor of the sanctioning health care provider and while at a location that is not on the sanctioning health care provider's facility premises and is not on property that is owned by, leased by, or under the direct control of the sanctioning health care provider.</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qualified medical provider under RCW 70.245.040, the consulting qualified medical provider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t>((</w:t>
      </w:r>
      <w:r>
        <w:rPr>
          <w:strike/>
        </w:rPr>
        <w:t xml:space="preserve">Charting a patient's first request, as referenced in RCW 70.245.020, to services as provided in chapter 1, Laws of 2009;</w:t>
      </w:r>
    </w:p>
    <w:p>
      <w:pPr>
        <w:spacing w:before="0" w:after="0" w:line="408" w:lineRule="exact"/>
        <w:ind w:left="0" w:right="0" w:firstLine="576"/>
        <w:jc w:val="left"/>
      </w:pPr>
      <w:r>
        <w:rPr>
          <w:strike/>
        </w:rPr>
        <w:t xml:space="preserve">(D)</w:t>
      </w:r>
      <w:r>
        <w:t>))</w:t>
      </w:r>
      <w:r>
        <w:rPr/>
        <w:t xml:space="preserve"> Providing a patient, upon the request of the patient, with a referral to another attending or consulting qualified medical provider;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patient contracting with his or her attending qualified medical provider and consulting qualified medical provider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
      <w:pPr>
        <w:jc w:val="center"/>
      </w:pPr>
      <w:r>
        <w:rPr>
          <w:b/>
        </w:rPr>
        <w:t>--- END ---</w:t>
      </w:r>
    </w:p>
    <w:sectPr>
      <w:pgNumType w:start="1"/>
      <w:footerReference xmlns:r="http://schemas.openxmlformats.org/officeDocument/2006/relationships" r:id="R35e9b45083c444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8270f614aa44e8" /><Relationship Type="http://schemas.openxmlformats.org/officeDocument/2006/relationships/footer" Target="/word/footer1.xml" Id="R35e9b45083c444ea" /></Relationships>
</file>