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ae65c92a8646a1" /></Relationships>
</file>

<file path=word/document.xml><?xml version="1.0" encoding="utf-8"?>
<w:document xmlns:w="http://schemas.openxmlformats.org/wordprocessingml/2006/main">
  <w:body>
    <w:p>
      <w:r>
        <w:t>S-3571.3</w:t>
      </w:r>
    </w:p>
    <w:p>
      <w:pPr>
        <w:jc w:val="center"/>
      </w:pPr>
      <w:r>
        <w:t>_______________________________________________</w:t>
      </w:r>
    </w:p>
    <w:p/>
    <w:p>
      <w:pPr>
        <w:jc w:val="center"/>
      </w:pPr>
      <w:r>
        <w:rPr>
          <w:b/>
        </w:rPr>
        <w:t>SENATE BILL 6085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King, Hunt, and Keiser</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underground economy task force;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task force on the underground economy in the Washington state construction industry is reestablished.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(2) The purpose of the task force is to study the nature and scope of the underground economy and to recommend what policy changes, if any, are needed to address the underground economy, including whether greater cohesion and transparency among state agencies is needed. To assist the task force in achieving this goal and to determine the extent of and projected costs to the state and workers of the underground economy in the construction industry, the task force may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(3)(a)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laborers,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state attorney general's office.</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is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legislative members will choose its chair or cochairs from among its legislative membership at the initial meeting. The legislative staff will schedule the initial meeting of the task force at a time and date agreed to by the legislative members.</w:t>
      </w:r>
    </w:p>
    <w:p>
      <w:pPr>
        <w:spacing w:before="0" w:after="0" w:line="408" w:lineRule="exact"/>
        <w:ind w:left="0" w:right="0" w:firstLine="576"/>
        <w:jc w:val="left"/>
      </w:pPr>
      <w:r>
        <w:rPr/>
        <w:t xml:space="preserve">(4)(a) The task force shall use legislative facilities and staff support shall be provided by senate committee services and the house of representatives office of program research. Within available funding, the task force may hire additional staff with specific technical expertise if such expertise is necessary to carry out the mandates of this study.</w:t>
      </w:r>
    </w:p>
    <w:p>
      <w:pPr>
        <w:spacing w:before="0" w:after="0" w:line="408" w:lineRule="exact"/>
        <w:ind w:left="0" w:right="0" w:firstLine="576"/>
        <w:jc w:val="left"/>
      </w:pPr>
      <w:r>
        <w:rPr/>
        <w:t xml:space="preserve">(b)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(c) The expenses of the task force will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task force shall report its findings and recommendations to the legislature by October 31, 2025.</w:t>
      </w:r>
    </w:p>
    <w:p>
      <w:pPr>
        <w:spacing w:before="0" w:after="0" w:line="408" w:lineRule="exact"/>
        <w:ind w:left="0" w:right="0" w:firstLine="576"/>
        <w:jc w:val="left"/>
      </w:pPr>
      <w:r>
        <w:rPr/>
        <w:t xml:space="preserve">(6) This section expires December 31, 2026.</w:t>
      </w:r>
    </w:p>
    <w:p/>
    <w:p>
      <w:pPr>
        <w:jc w:val="center"/>
      </w:pPr>
      <w:r>
        <w:rPr>
          <w:b/>
        </w:rPr>
        <w:t>--- END ---</w:t>
      </w:r>
    </w:p>
    <w:sectPr>
      <w:pgNumType w:start="1"/>
      <w:footerReference xmlns:r="http://schemas.openxmlformats.org/officeDocument/2006/relationships" r:id="R78ad91f30cca49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058faf9fb4f3c" /><Relationship Type="http://schemas.openxmlformats.org/officeDocument/2006/relationships/footer" Target="/word/footer1.xml" Id="R78ad91f30cca496b" /></Relationships>
</file>