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0b65e85a4f43e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6109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C. Wilson, Boehnke, Braun, Gildon, Hasegawa, Kuderer, Liias, Lovelett, Lovick, Nguyen, Nobles, Saldaña, Short, Warnick, and J.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children, families, and child welfare workers by improving services and clarifying the child removal process in circumstances involving high-potency synthetic opioids; amending RCW 13.34.050, 13.34.130, 26.44.050, 26.44.056, and 2.56.230; reenacting and amending RCW 13.34.030 and 13.34.065; adding new sections to chapter 43.216 RCW; adding a new section to chapter 43.70 RCW; adding a new section to chapter 41.05 RCW; adding a new section to chapter 74.13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since 2018 there has been a significant increase in the number of child fatalities and near fatalities involving fentanyl.</w:t>
      </w:r>
    </w:p>
    <w:p>
      <w:pPr>
        <w:spacing w:before="0" w:after="0" w:line="408" w:lineRule="exact"/>
        <w:ind w:left="0" w:right="0" w:firstLine="576"/>
        <w:jc w:val="left"/>
      </w:pPr>
      <w:r>
        <w:rPr/>
        <w:t xml:space="preserve">(2) The legislature finds that fentanyl and other highly potent synthetic opioids pose a unique and growing threat to the safety of children in Washington state. Fentanyl is a high-potency synthetic opioid and, according to the centers for disease control and prevention, is 50 times more potent than heroin and 100 times more potent than morphine. Even in very small quantities high-potency synthetic opioids may be lethal to a child.</w:t>
      </w:r>
    </w:p>
    <w:p>
      <w:pPr>
        <w:spacing w:before="0" w:after="0" w:line="408" w:lineRule="exact"/>
        <w:ind w:left="0" w:right="0" w:firstLine="576"/>
        <w:jc w:val="left"/>
      </w:pPr>
      <w:r>
        <w:rPr/>
        <w:t xml:space="preserve">(3) The legislature intends to provide clarity to judges, social workers, advocates, and families about the safety threat that highly potent synthetic opioids pose to vulnerable children. The legislature declares that public health guidance from the department of health regarding the lethality of highly potent synthetic opioids should be given great weight in determining whether a child is at risk of imminent physical harm as a result of abuse or neglect.</w:t>
      </w:r>
    </w:p>
    <w:p>
      <w:pPr>
        <w:spacing w:before="0" w:after="0" w:line="408" w:lineRule="exact"/>
        <w:ind w:left="0" w:right="0" w:firstLine="576"/>
        <w:jc w:val="left"/>
      </w:pPr>
      <w:r>
        <w:rPr/>
        <w:t xml:space="preserve">(4) The legislature recognizes the challenges for recovery and rehabilitation regarding opioid use and resolves to increase services and supports. The legislature further resolves to increase training and resources for state and judicial employees to accomplish their mission and goals in a safe and effective manner.</w:t>
      </w:r>
    </w:p>
    <w:p>
      <w:pPr>
        <w:spacing w:before="0" w:after="0" w:line="408" w:lineRule="exact"/>
        <w:ind w:left="0" w:right="0" w:firstLine="576"/>
        <w:jc w:val="left"/>
      </w:pPr>
      <w:r>
        <w:rPr/>
        <w:t xml:space="preserve">(5) The legislature recognizes that supporting families in crisis with interventions and services, including preventative services, voluntary services, and family assessment response, minimizes child trauma from further child welfare involvement and strengthens families.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HIGH-POTENCY SYNTHETIC OPIOIDS AND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w:t>
      </w:r>
      <w:r>
        <w:rPr>
          <w:u w:val="single"/>
        </w:rPr>
        <w:t xml:space="preserve">"High-potency synthetic opioid" means an unprescribed synthetic opioid classified as a schedule II controlled substance or controlled substance analog in chapter 69.50 RCW or by the pharmacy quality assurance commission in rule including, but not limited to, fentanyl.</w:t>
      </w:r>
    </w:p>
    <w:p>
      <w:pPr>
        <w:spacing w:before="0" w:after="0" w:line="408" w:lineRule="exact"/>
        <w:ind w:left="0" w:right="0" w:firstLine="576"/>
        <w:jc w:val="left"/>
      </w:pPr>
      <w:r>
        <w:rPr>
          <w:u w:val="single"/>
        </w:rPr>
        <w:t xml:space="preserve">(16)</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2021 c 211 s 6 are each amended to read as follows:</w:t>
      </w:r>
    </w:p>
    <w:p>
      <w:pPr>
        <w:spacing w:before="0" w:after="0" w:line="408" w:lineRule="exact"/>
        <w:ind w:left="0" w:right="0" w:firstLine="576"/>
        <w:jc w:val="left"/>
      </w:pPr>
      <w:r>
        <w:rPr/>
        <w:t xml:space="preserve">(1) The court may enter an order directing a law enforcement officer, probation counselor, or child protective services official to take a child into custody if: (a) A petition is filed with the juvenile court with sufficient corroborating evidence to establish that the child is dependent; (b) </w:t>
      </w:r>
      <w:r>
        <w:t>((</w:t>
      </w:r>
      <w:r>
        <w:rPr>
          <w:strike/>
        </w:rPr>
        <w:t xml:space="preserve">the allegations contained in the petition, if true, establish that there are reasonable grounds to believe that removal is necessary to prevent imminent physical harm to the child due to child abuse or neglect, including that which results from sexual abuse, sexual exploitation, or a pattern of severe neglect; and (c)</w:t>
      </w:r>
      <w:r>
        <w:t>))</w:t>
      </w:r>
      <w:r>
        <w:rPr/>
        <w:t xml:space="preserve"> an affidavit or declaration is filed by the department in support of the petition setting forth specific factual information evidencing insufficient time to serve a parent with a dependency petition and hold a hearing prior to removal</w:t>
      </w:r>
      <w:r>
        <w:rPr>
          <w:u w:val="single"/>
        </w:rPr>
        <w:t xml:space="preserve">; and (c) the allegations contained in the petition, if true, establish that there are reasonable grounds to believe that removal is necessary to prevent imminent physical harm to the child due to child abuse or neglect, including that which results from sexual abuse, sexual exploitation, a pattern of severe neglect, or a high-potency synthetic opioid. The court shall give great weight to the lethality of high-potency synthetic opioids and public health guidance from the department of health related to high-potency synthetic opioids</w:t>
      </w:r>
      <w:r>
        <w:rPr/>
        <w:t xml:space="preserve">.</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2021 c 211 s 9, 2021 c 208 s 1, and 2021 c 67 s 4 are each reenacted and amended to read as follows:</w:t>
      </w:r>
    </w:p>
    <w:p>
      <w:pPr>
        <w:spacing w:before="0" w:after="0" w:line="408" w:lineRule="exact"/>
        <w:ind w:left="0" w:right="0" w:firstLine="576"/>
        <w:jc w:val="left"/>
      </w:pPr>
      <w:r>
        <w:rPr/>
        <w:t xml:space="preserve">(1)(a) When a child is removed or when the petitioner is seeking the removal of a child from the child's parent, guardian, or legal custodian, the court shall hold a shelter care hearing within 72 hours, excluding Saturdays, Sundays, and holidays. The primary purpose of the shelter care hearing is to determine whether the child can be immediately and safely returned home while the adjudication of the dependency is pending. 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child's attorney, parent, guardian, or legal custodian who for good cause is unable to attend or adequately prepare for the shelter care hearing may request that the initial shelter care hearing be continued or that a subsequent shelter care hearing be scheduled. The request shall be made to the clerk of the court where the petition is filed prior to the initial shelter care hearing. Upon the request of the child's attorney, parent, guardian, or legal custodian, the court shall schedule the hearing within 72 hours of the request, excluding Saturdays, Sundays, and holidays. The clerk shall notify all other parties of the hearing by any reasonable means. 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72 hours, the department shall submit a recommendation to the court as to the further need for shelter care in all cases in which the child will remain in shelter care longer than the 72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in person, or by remote means,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diligent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experiencing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(B)(I) Removal of the child is necessary to prevent imminent physical harm due to child abuse or neglect, including that which results from sexual abuse, sexual exploitation, or a pattern of severe neglect, notwithstanding an order entered pursuant to RCW 26.44.063.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r>
        <w:rPr>
          <w:u w:val="single"/>
        </w:rPr>
        <w:t xml:space="preserve">. The court shall give great weight to the lethality of high-potency synthetic opioids and public health guidance from the department of health related to high-potency synthetic opioids when applying the requirements of this subsection</w:t>
      </w:r>
      <w:r>
        <w:rPr/>
        <w:t xml:space="preserve">;</w:t>
      </w:r>
    </w:p>
    <w:p>
      <w:pPr>
        <w:spacing w:before="0" w:after="0" w:line="408" w:lineRule="exact"/>
        <w:ind w:left="0" w:right="0" w:firstLine="576"/>
        <w:jc w:val="left"/>
      </w:pPr>
      <w:r>
        <w:rPr/>
        <w:t xml:space="preserve">(II) It is contrary to the welfare of the child to be returned home; and</w:t>
      </w:r>
    </w:p>
    <w:p>
      <w:pPr>
        <w:spacing w:before="0" w:after="0" w:line="408" w:lineRule="exact"/>
        <w:ind w:left="0" w:right="0" w:firstLine="576"/>
        <w:jc w:val="left"/>
      </w:pPr>
      <w:r>
        <w:rPr/>
        <w:t xml:space="preserve">(III) After considering the particular circumstances of the child, any imminent physical harm to the child outweighs the harm the child will experience as a result of removal;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finds that the elements of (a)(ii)(B) of this subsection require removal of the child, the court shall further consider:</w:t>
      </w:r>
    </w:p>
    <w:p>
      <w:pPr>
        <w:spacing w:before="0" w:after="0" w:line="408" w:lineRule="exact"/>
        <w:ind w:left="0" w:right="0" w:firstLine="576"/>
        <w:jc w:val="left"/>
      </w:pPr>
      <w:r>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w:t>
      </w:r>
      <w:r>
        <w:rPr>
          <w:u w:val="single"/>
        </w:rPr>
        <w:t xml:space="preserve">The court shall give great weight to the lethality of high-potency synthetic opioids and public health guidance from the department of health related to high-potency synthetic opioids when deciding whether to place the child with the parent.</w:t>
      </w:r>
      <w:r>
        <w:rPr/>
        <w:t xml:space="preserve">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t xml:space="preserve">(c)(i) If the court does not release the child to his or her parent, guardian, or legal custodian, the court shall order placement with a relative or other suitable person as described in RCW 13.34.130(1)(b), unless the petitioner establishes that there is reasonable cause to believe that:</w:t>
      </w:r>
    </w:p>
    <w:p>
      <w:pPr>
        <w:spacing w:before="0" w:after="0" w:line="408" w:lineRule="exact"/>
        <w:ind w:left="0" w:right="0" w:firstLine="576"/>
        <w:jc w:val="left"/>
      </w:pPr>
      <w:r>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t xml:space="preserve">(B) The efforts to reunite the parent and child will be hindered.</w:t>
      </w:r>
    </w:p>
    <w:p>
      <w:pPr>
        <w:spacing w:before="0" w:after="0" w:line="408" w:lineRule="exact"/>
        <w:ind w:left="0" w:right="0" w:firstLine="576"/>
        <w:jc w:val="left"/>
      </w:pPr>
      <w:r>
        <w:rPr/>
        <w:t xml:space="preserve">(ii) In making the determination in (c)(i) of this subsection, the court shall:</w:t>
      </w:r>
    </w:p>
    <w:p>
      <w:pPr>
        <w:spacing w:before="0" w:after="0" w:line="408" w:lineRule="exact"/>
        <w:ind w:left="0" w:right="0" w:firstLine="576"/>
        <w:jc w:val="left"/>
      </w:pPr>
      <w:r>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t xml:space="preserve">(I) Has expressed an interest in becoming a caregiver for the child;</w:t>
      </w:r>
    </w:p>
    <w:p>
      <w:pPr>
        <w:spacing w:before="0" w:after="0" w:line="408" w:lineRule="exact"/>
        <w:ind w:left="0" w:right="0" w:firstLine="576"/>
        <w:jc w:val="left"/>
      </w:pPr>
      <w:r>
        <w:rPr/>
        <w:t xml:space="preserve">(II) Is able to meet any special needs of the child;</w:t>
      </w:r>
    </w:p>
    <w:p>
      <w:pPr>
        <w:spacing w:before="0" w:after="0" w:line="408" w:lineRule="exact"/>
        <w:ind w:left="0" w:right="0" w:firstLine="576"/>
        <w:jc w:val="left"/>
      </w:pPr>
      <w:r>
        <w:rPr/>
        <w:t xml:space="preserve">(III) Is willing to facilitate the child's sibling and parent visitation if such visitation is ordered by the court; and</w:t>
      </w:r>
    </w:p>
    <w:p>
      <w:pPr>
        <w:spacing w:before="0" w:after="0" w:line="408" w:lineRule="exact"/>
        <w:ind w:left="0" w:right="0" w:firstLine="576"/>
        <w:jc w:val="left"/>
      </w:pPr>
      <w:r>
        <w:rPr/>
        <w:t xml:space="preserve">(IV) Supports reunification of the parent and child once reunification can safely occur; and</w:t>
      </w:r>
    </w:p>
    <w:p>
      <w:pPr>
        <w:spacing w:before="0" w:after="0" w:line="408" w:lineRule="exact"/>
        <w:ind w:left="0" w:right="0" w:firstLine="576"/>
        <w:jc w:val="left"/>
      </w:pPr>
      <w:r>
        <w:rPr/>
        <w:t xml:space="preserve">(B) Give great weight to the stated preference of the parent, guardian, or legal custodian, and the child.</w:t>
      </w:r>
    </w:p>
    <w:p>
      <w:pPr>
        <w:spacing w:before="0" w:after="0" w:line="408" w:lineRule="exact"/>
        <w:ind w:left="0" w:right="0" w:firstLine="576"/>
        <w:jc w:val="left"/>
      </w:pPr>
      <w:r>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t xml:space="preserve">(B) Uncertainty on the part of the relative or other suitable person regarding potential adoption of the child;</w:t>
      </w:r>
    </w:p>
    <w:p>
      <w:pPr>
        <w:spacing w:before="0" w:after="0" w:line="408" w:lineRule="exact"/>
        <w:ind w:left="0" w:right="0" w:firstLine="576"/>
        <w:jc w:val="left"/>
      </w:pPr>
      <w:r>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t xml:space="preserve">(d)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w:t>
      </w:r>
    </w:p>
    <w:p>
      <w:pPr>
        <w:spacing w:before="0" w:after="0" w:line="408" w:lineRule="exact"/>
        <w:ind w:left="0" w:right="0" w:firstLine="576"/>
        <w:jc w:val="left"/>
      </w:pPr>
      <w:r>
        <w:rPr/>
        <w:t xml:space="preserve">(e) If the court does not order placement with a relative or other suitable person, the court shall place the child in licensed foster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(f)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(g) If the child is placed in a qualified residential treatment program as defined in this chapter, the court shall, within 60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(h)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(c) of this subsection.</w:t>
      </w:r>
    </w:p>
    <w:p>
      <w:pPr>
        <w:spacing w:before="0" w:after="0" w:line="408" w:lineRule="exact"/>
        <w:ind w:left="0" w:right="0" w:firstLine="576"/>
        <w:jc w:val="left"/>
      </w:pPr>
      <w:r>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t xml:space="preserve">(j) If the court places the child in licensed foster care:</w:t>
      </w:r>
    </w:p>
    <w:p>
      <w:pPr>
        <w:spacing w:before="0" w:after="0" w:line="408" w:lineRule="exact"/>
        <w:ind w:left="0" w:right="0" w:firstLine="576"/>
        <w:jc w:val="left"/>
      </w:pPr>
      <w:r>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t xml:space="preserve">(A) The identified placement is the least restrictive placement necessary to meet the needs of the child;</w:t>
      </w:r>
    </w:p>
    <w:p>
      <w:pPr>
        <w:spacing w:before="0" w:after="0" w:line="408" w:lineRule="exact"/>
        <w:ind w:left="0" w:right="0" w:firstLine="576"/>
        <w:jc w:val="left"/>
      </w:pPr>
      <w:r>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t xml:space="preserve">(D) The licensed foster placement is able to meet the special needs of the child;</w:t>
      </w:r>
    </w:p>
    <w:p>
      <w:pPr>
        <w:spacing w:before="0" w:after="0" w:line="408" w:lineRule="exact"/>
        <w:ind w:left="0" w:right="0" w:firstLine="576"/>
        <w:jc w:val="left"/>
      </w:pPr>
      <w:r>
        <w:rPr/>
        <w:t xml:space="preserve">(E) The location of the proposed foster placement will impede visitation with the child's parent or parents;</w:t>
      </w:r>
    </w:p>
    <w:p>
      <w:pPr>
        <w:spacing w:before="0" w:after="0" w:line="408" w:lineRule="exact"/>
        <w:ind w:left="0" w:right="0" w:firstLine="576"/>
        <w:jc w:val="left"/>
      </w:pPr>
      <w:r>
        <w:rPr/>
        <w:t xml:space="preserve">(ii) The court may order the department to:</w:t>
      </w:r>
    </w:p>
    <w:p>
      <w:pPr>
        <w:spacing w:before="0" w:after="0" w:line="408" w:lineRule="exact"/>
        <w:ind w:left="0" w:right="0" w:firstLine="576"/>
        <w:jc w:val="left"/>
      </w:pPr>
      <w:r>
        <w:rPr/>
        <w:t xml:space="preserve">(A) Place the child in a less restrictive placement;</w:t>
      </w:r>
    </w:p>
    <w:p>
      <w:pPr>
        <w:spacing w:before="0" w:after="0" w:line="408" w:lineRule="exact"/>
        <w:ind w:left="0" w:right="0" w:firstLine="576"/>
        <w:jc w:val="left"/>
      </w:pPr>
      <w:r>
        <w:rPr/>
        <w:t xml:space="preserve">(B) Place the child in a location in closer proximity to the child's parent, home, or school;</w:t>
      </w:r>
    </w:p>
    <w:p>
      <w:pPr>
        <w:spacing w:before="0" w:after="0" w:line="408" w:lineRule="exact"/>
        <w:ind w:left="0" w:right="0" w:firstLine="576"/>
        <w:jc w:val="left"/>
      </w:pPr>
      <w:r>
        <w:rPr/>
        <w:t xml:space="preserve">(C) Place the child with the child's sibling or siblings;</w:t>
      </w:r>
    </w:p>
    <w:p>
      <w:pPr>
        <w:spacing w:before="0" w:after="0" w:line="408" w:lineRule="exact"/>
        <w:ind w:left="0" w:right="0" w:firstLine="576"/>
        <w:jc w:val="left"/>
      </w:pPr>
      <w:r>
        <w:rPr/>
        <w:t xml:space="preserve">(D) Take any other necessary steps to ensure the child's health, safety, and well-being;</w:t>
      </w:r>
    </w:p>
    <w:p>
      <w:pPr>
        <w:spacing w:before="0" w:after="0" w:line="408" w:lineRule="exact"/>
        <w:ind w:left="0" w:right="0" w:firstLine="576"/>
        <w:jc w:val="left"/>
      </w:pPr>
      <w:r>
        <w:rPr/>
        <w:t xml:space="preserve">(iii) The court shall advise the petitioner that:</w:t>
      </w:r>
    </w:p>
    <w:p>
      <w:pPr>
        <w:spacing w:before="0" w:after="0" w:line="408" w:lineRule="exact"/>
        <w:ind w:left="0" w:right="0" w:firstLine="576"/>
        <w:jc w:val="left"/>
      </w:pPr>
      <w:r>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30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(7)(a)(i)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The department and its employees shall not be held liable in any civil action for complying with an order issued under this section for placement: With a parent who has agreed to accept services, a relative, or a suitable person.</w:t>
      </w:r>
    </w:p>
    <w:p>
      <w:pPr>
        <w:spacing w:before="0" w:after="0" w:line="408" w:lineRule="exact"/>
        <w:ind w:left="0" w:right="0" w:firstLine="576"/>
        <w:jc w:val="left"/>
      </w:pPr>
      <w:r>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t xml:space="preserve">(c) Visitation under this subsection may only be limited where necessary to ensure the health, safety, or welfare of the child.</w:t>
      </w:r>
    </w:p>
    <w:p>
      <w:pPr>
        <w:spacing w:before="0" w:after="0" w:line="408" w:lineRule="exact"/>
        <w:ind w:left="0" w:right="0" w:firstLine="576"/>
        <w:jc w:val="left"/>
      </w:pPr>
      <w:r>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t xml:space="preserve">(e) If the first visit under (d) of this subsection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2019 c 172 s 12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agency responsible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to be competent to provide care for the child.</w:t>
      </w:r>
    </w:p>
    <w:p>
      <w:pPr>
        <w:spacing w:before="0" w:after="0" w:line="408" w:lineRule="exact"/>
        <w:ind w:left="0" w:right="0" w:firstLine="576"/>
        <w:jc w:val="left"/>
      </w:pPr>
      <w:r>
        <w:rPr/>
        <w:t xml:space="preserve">(2) Absent good cause, the department shall follow the wishes of the natural parent regarding the placement of the child in accordance with RCW 13.34.260.</w:t>
      </w:r>
    </w:p>
    <w:p>
      <w:pPr>
        <w:spacing w:before="0" w:after="0" w:line="408" w:lineRule="exact"/>
        <w:ind w:left="0" w:right="0" w:firstLine="576"/>
        <w:jc w:val="left"/>
      </w:pPr>
      <w:r>
        <w:rPr/>
        <w:t xml:space="preserve">(3) The department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t>((</w:t>
      </w:r>
      <w:r>
        <w:rPr>
          <w:strike/>
        </w:rPr>
        <w:t xml:space="preserve">(i) [(a)]</w:t>
      </w:r>
      <w:r>
        <w:t>))</w:t>
      </w:r>
      <w:r>
        <w:rPr/>
        <w:t xml:space="preserve"> </w:t>
      </w:r>
      <w:r>
        <w:rPr>
          <w:u w:val="single"/>
        </w:rPr>
        <w:t xml:space="preserve">(a)</w:t>
      </w:r>
      <w:r>
        <w:rPr/>
        <w:t xml:space="preserve"> Consider the assessment required under RCW 13.34.420 and submitted as part of the department's social study, and any related documentation;</w:t>
      </w:r>
    </w:p>
    <w:p>
      <w:pPr>
        <w:spacing w:before="0" w:after="0" w:line="408" w:lineRule="exact"/>
        <w:ind w:left="0" w:right="0" w:firstLine="576"/>
        <w:jc w:val="left"/>
      </w:pPr>
      <w:r>
        <w:t>((</w:t>
      </w:r>
      <w:r>
        <w:rPr>
          <w:strike/>
        </w:rPr>
        <w:t xml:space="preserve">(ii) [(b)]</w:t>
      </w:r>
      <w:r>
        <w:t>))</w:t>
      </w:r>
      <w:r>
        <w:rPr/>
        <w:t xml:space="preserve"> </w:t>
      </w:r>
      <w:r>
        <w:rPr>
          <w:u w:val="single"/>
        </w:rPr>
        <w:t xml:space="preserve">(b)</w:t>
      </w:r>
      <w:r>
        <w:rPr/>
        <w:t xml:space="preserve">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t>((</w:t>
      </w:r>
      <w:r>
        <w:rPr>
          <w:strike/>
        </w:rPr>
        <w:t xml:space="preserve">(iii) [(c)]</w:t>
      </w:r>
      <w:r>
        <w:t>))</w:t>
      </w:r>
      <w:r>
        <w:rPr/>
        <w:t xml:space="preserve"> </w:t>
      </w:r>
      <w:r>
        <w:rPr>
          <w:u w:val="single"/>
        </w:rPr>
        <w:t xml:space="preserve">(c)</w:t>
      </w:r>
      <w:r>
        <w:rPr/>
        <w:t xml:space="preserve"> Approve or disapprove the child's placement in the qualified residential treatment program.</w:t>
      </w:r>
    </w:p>
    <w:p>
      <w:pPr>
        <w:spacing w:before="0" w:after="0" w:line="408" w:lineRule="exact"/>
        <w:ind w:left="0" w:right="0" w:firstLine="576"/>
        <w:jc w:val="left"/>
      </w:pPr>
      <w:r>
        <w:rPr/>
        <w:t xml:space="preserve">(5) When placing an Indian child in out-of-home care, the department shall follow the placement preference characteristics in RCW 13.38.180.</w:t>
      </w:r>
    </w:p>
    <w:p>
      <w:pPr>
        <w:spacing w:before="0" w:after="0" w:line="408" w:lineRule="exact"/>
        <w:ind w:left="0" w:right="0" w:firstLine="576"/>
        <w:jc w:val="left"/>
      </w:pPr>
      <w:r>
        <w:rPr/>
        <w:t xml:space="preserve">(6)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prevention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 </w:t>
      </w:r>
      <w:r>
        <w:rPr>
          <w:u w:val="single"/>
        </w:rPr>
        <w:t xml:space="preserve">The court shall give great weight to the lethality of high-potency synthetic opioids and public health guidance from the department of health related to high-potency synthetic opioids, including fentanyl, when deciding whether a manifest danger exists.</w:t>
      </w:r>
    </w:p>
    <w:p>
      <w:pPr>
        <w:spacing w:before="0" w:after="0" w:line="408" w:lineRule="exact"/>
        <w:ind w:left="0" w:right="0" w:firstLine="576"/>
        <w:jc w:val="left"/>
      </w:pPr>
      <w:r>
        <w:rPr/>
        <w:t xml:space="preserve">(7)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rPr/>
        <w:t xml:space="preserve">(8)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rPr/>
        <w:t xml:space="preserve">(9)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rPr/>
        <w:t xml:space="preserve">(10)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2021 c 211 s 5 are each amended to read as follows:</w:t>
      </w:r>
    </w:p>
    <w:p>
      <w:pPr>
        <w:spacing w:before="0" w:after="0" w:line="408" w:lineRule="exact"/>
        <w:ind w:left="0" w:right="0" w:firstLine="576"/>
        <w:jc w:val="left"/>
      </w:pPr>
      <w:r>
        <w:rPr>
          <w:u w:val="single"/>
        </w:rPr>
        <w:t xml:space="preserve">(1)</w:t>
      </w:r>
      <w:r>
        <w:rPr/>
        <w:t xml:space="preserve"> Except as provided in RCW 26.44.030(12),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u w:val="single"/>
        </w:rPr>
        <w:t xml:space="preserve">(2)</w:t>
      </w:r>
      <w:r>
        <w:rPr/>
        <w:t xml:space="preserve"> A law enforcement officer may take, or cause to be taken, a child into custody without a court order if there is probable cause to believe that taking the child into custody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and the child would be seriously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2021 c 211 s 4 are each amended to read as follows:</w:t>
      </w:r>
    </w:p>
    <w:p>
      <w:pPr>
        <w:spacing w:before="0" w:after="0" w:line="408" w:lineRule="exact"/>
        <w:ind w:left="0" w:right="0" w:firstLine="576"/>
        <w:jc w:val="left"/>
      </w:pPr>
      <w:r>
        <w:rPr/>
        <w:t xml:space="preserve">(1) An administrator of a hospital or similar institution or any physician, licensed pursuant to chapters 18.71 or 18.57 RCW, may detain a child without consent of a person legally responsible for the child whether or not medical treatment is required, if there is probable cause to believe that detaining the child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and the child would be seriously injured or could not be taken into custody if it were necessary to first obtain a court order under RCW 13.34.050: PROVIDED, That such administrator or physician shall notify or cause to be notified the appropriate law enforcement agency or child protective services pursuant to RCW 26.44.040. Such notification shall be made as soon as possible and in no case longer than </w:t>
      </w:r>
      <w:r>
        <w:t>((</w:t>
      </w:r>
      <w:r>
        <w:rPr>
          <w:strike/>
        </w:rPr>
        <w:t xml:space="preserve">seventy-two</w:t>
      </w:r>
      <w:r>
        <w:t>))</w:t>
      </w:r>
      <w:r>
        <w:rPr/>
        <w:t xml:space="preserve"> </w:t>
      </w:r>
      <w:r>
        <w:rPr>
          <w:u w:val="single"/>
        </w:rPr>
        <w:t xml:space="preserve">72</w:t>
      </w:r>
      <w:r>
        <w:rPr/>
        <w:t xml:space="preserve"> hours. Such temporary protective custody by an administrator or doctor shall not be deemed an arrest. Child protective services may detain the child until the court assumes custody, but in no case longer than </w:t>
      </w:r>
      <w:r>
        <w:t>((</w:t>
      </w:r>
      <w:r>
        <w:rPr>
          <w:strike/>
        </w:rPr>
        <w:t xml:space="preserve">seventy-two</w:t>
      </w:r>
      <w:r>
        <w:t>))</w:t>
      </w:r>
      <w:r>
        <w:rPr/>
        <w:t xml:space="preserve"> </w:t>
      </w:r>
      <w:r>
        <w:rPr>
          <w:u w:val="single"/>
        </w:rPr>
        <w:t xml:space="preserve">72</w:t>
      </w:r>
      <w:r>
        <w:rPr/>
        <w:t xml:space="preserve"> hours, excluding Saturdays, Sundays, and holidays.</w:t>
      </w:r>
    </w:p>
    <w:p>
      <w:pPr>
        <w:spacing w:before="0" w:after="0" w:line="408" w:lineRule="exact"/>
        <w:ind w:left="0" w:right="0" w:firstLine="576"/>
        <w:jc w:val="left"/>
      </w:pPr>
      <w:r>
        <w:rPr/>
        <w:t xml:space="preserve">(2)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at least one legal liaison position shall be established within the department in each of its regions to work with both the department and the office of the attorney general for the purpose of assisting with the preparation of child abuse and neglect court cases.</w:t>
      </w:r>
    </w:p>
    <w:p>
      <w:pPr>
        <w:spacing w:before="0" w:after="0" w:line="408" w:lineRule="exact"/>
        <w:ind w:left="0" w:right="0" w:firstLine="576"/>
        <w:jc w:val="left"/>
      </w:pPr>
      <w:r>
        <w:rPr/>
        <w:t xml:space="preserve">(2)(a) The workload of the legal liaisons shall be geographically divided to reflect where the highest risk and most vulnerable child abuse and neglect cases are filed.</w:t>
      </w:r>
    </w:p>
    <w:p>
      <w:pPr>
        <w:spacing w:before="0" w:after="0" w:line="408" w:lineRule="exact"/>
        <w:ind w:left="0" w:right="0" w:firstLine="576"/>
        <w:jc w:val="left"/>
      </w:pPr>
      <w:r>
        <w:rPr/>
        <w:t xml:space="preserve">(b) For the purpose of this subsection, "highest risk" and "most vulnerable" are determined by the age of the child and whether the child is particularly vulnerable given the child's medical or developmental conditions.</w:t>
      </w:r>
    </w:p>
    <w:p>
      <w:pPr>
        <w:spacing w:before="0" w:after="0" w:line="408" w:lineRule="exact"/>
        <w:ind w:left="0" w:right="0" w:firstLine="576"/>
        <w:jc w:val="left"/>
      </w:pPr>
      <w:r>
        <w:rPr/>
        <w:t xml:space="preserve">(3) The department may determine the necessary qualifications for the legal liaison positions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230</w:t>
      </w:r>
      <w:r>
        <w:rPr/>
        <w:t xml:space="preserve"> and 2008 c 279 s 2 are each amended to read as follows:</w:t>
      </w:r>
    </w:p>
    <w:p>
      <w:pPr>
        <w:spacing w:before="0" w:after="0" w:line="408" w:lineRule="exact"/>
        <w:ind w:left="0" w:right="0" w:firstLine="576"/>
        <w:jc w:val="left"/>
      </w:pPr>
      <w:r>
        <w:rPr/>
        <w:t xml:space="preserve">(1) A superior court may apply for grants from the family and juvenile court improvement grant program by submitting a local improvement plan with the administrator for the courts. To be eligible for grant funds, a superior court's local improvement plan must meet the criteria developed by the administrator for the courts and approved by the board for judicial administration. The criteria must be consistent with the principles adopted for unified family courts. At a minimum, the criteria must require that the court's local improvement plan meet the following requirements:</w:t>
      </w:r>
    </w:p>
    <w:p>
      <w:pPr>
        <w:spacing w:before="0" w:after="0" w:line="408" w:lineRule="exact"/>
        <w:ind w:left="0" w:right="0" w:firstLine="576"/>
        <w:jc w:val="left"/>
      </w:pPr>
      <w:r>
        <w:rPr/>
        <w:t xml:space="preserve">(a) Commit to a chief judge assignment to the family and juvenile court for a minimum of two years;</w:t>
      </w:r>
    </w:p>
    <w:p>
      <w:pPr>
        <w:spacing w:before="0" w:after="0" w:line="408" w:lineRule="exact"/>
        <w:ind w:left="0" w:right="0" w:firstLine="576"/>
        <w:jc w:val="left"/>
      </w:pPr>
      <w:r>
        <w:rPr/>
        <w:t xml:space="preserve">(b) Implementation of the principle of one judicial team hearing all of the proceedings in a case involving one family, especially in dependency cases;</w:t>
      </w:r>
    </w:p>
    <w:p>
      <w:pPr>
        <w:spacing w:before="0" w:after="0" w:line="408" w:lineRule="exact"/>
        <w:ind w:left="0" w:right="0" w:firstLine="576"/>
        <w:jc w:val="left"/>
      </w:pPr>
      <w:r>
        <w:rPr/>
        <w:t xml:space="preserve">(c) Require court commissioners and judges assigned to family and juvenile court to receive a minimum of thirty hours specialized training in topics related to family and juvenile matters within six months of assuming duties in family and juvenile court. Where possible, courts should utilize local, statewide, and national training forums. A judicial officer's recorded educational history may be applied toward the thirty</w:t>
      </w:r>
      <w:r>
        <w:rPr/>
        <w:noBreakHyphen/>
      </w:r>
      <w:r>
        <w:rPr/>
        <w:t xml:space="preserve">hour requirement. The topics for training must include:</w:t>
      </w:r>
    </w:p>
    <w:p>
      <w:pPr>
        <w:spacing w:before="0" w:after="0" w:line="408" w:lineRule="exact"/>
        <w:ind w:left="0" w:right="0" w:firstLine="576"/>
        <w:jc w:val="left"/>
      </w:pPr>
      <w:r>
        <w:rPr/>
        <w:t xml:space="preserve">(i) Parentage;</w:t>
      </w:r>
    </w:p>
    <w:p>
      <w:pPr>
        <w:spacing w:before="0" w:after="0" w:line="408" w:lineRule="exact"/>
        <w:ind w:left="0" w:right="0" w:firstLine="576"/>
        <w:jc w:val="left"/>
      </w:pPr>
      <w:r>
        <w:rPr/>
        <w:t xml:space="preserve">(ii) Adoption;</w:t>
      </w:r>
    </w:p>
    <w:p>
      <w:pPr>
        <w:spacing w:before="0" w:after="0" w:line="408" w:lineRule="exact"/>
        <w:ind w:left="0" w:right="0" w:firstLine="576"/>
        <w:jc w:val="left"/>
      </w:pPr>
      <w:r>
        <w:rPr/>
        <w:t xml:space="preserve">(iii) Domestic relations;</w:t>
      </w:r>
    </w:p>
    <w:p>
      <w:pPr>
        <w:spacing w:before="0" w:after="0" w:line="408" w:lineRule="exact"/>
        <w:ind w:left="0" w:right="0" w:firstLine="576"/>
        <w:jc w:val="left"/>
      </w:pPr>
      <w:r>
        <w:rPr/>
        <w:t xml:space="preserve">(iv) Dependency and termination of parental rights;</w:t>
      </w:r>
    </w:p>
    <w:p>
      <w:pPr>
        <w:spacing w:before="0" w:after="0" w:line="408" w:lineRule="exact"/>
        <w:ind w:left="0" w:right="0" w:firstLine="576"/>
        <w:jc w:val="left"/>
      </w:pPr>
      <w:r>
        <w:rPr/>
        <w:t xml:space="preserve">(v) Child development;</w:t>
      </w:r>
    </w:p>
    <w:p>
      <w:pPr>
        <w:spacing w:before="0" w:after="0" w:line="408" w:lineRule="exact"/>
        <w:ind w:left="0" w:right="0" w:firstLine="576"/>
        <w:jc w:val="left"/>
      </w:pPr>
      <w:r>
        <w:rPr/>
        <w:t xml:space="preserve">(vi) The impact of child abuse and neglect;</w:t>
      </w:r>
    </w:p>
    <w:p>
      <w:pPr>
        <w:spacing w:before="0" w:after="0" w:line="408" w:lineRule="exact"/>
        <w:ind w:left="0" w:right="0" w:firstLine="576"/>
        <w:jc w:val="left"/>
      </w:pPr>
      <w:r>
        <w:rPr/>
        <w:t xml:space="preserve">(vii) Domestic violence;</w:t>
      </w:r>
    </w:p>
    <w:p>
      <w:pPr>
        <w:spacing w:before="0" w:after="0" w:line="408" w:lineRule="exact"/>
        <w:ind w:left="0" w:right="0" w:firstLine="576"/>
        <w:jc w:val="left"/>
      </w:pPr>
      <w:r>
        <w:rPr/>
        <w:t xml:space="preserve">(viii) Substance abuse;</w:t>
      </w:r>
    </w:p>
    <w:p>
      <w:pPr>
        <w:spacing w:before="0" w:after="0" w:line="408" w:lineRule="exact"/>
        <w:ind w:left="0" w:right="0" w:firstLine="576"/>
        <w:jc w:val="left"/>
      </w:pPr>
      <w:r>
        <w:rPr/>
        <w:t xml:space="preserve">(ix) Mental health;</w:t>
      </w:r>
    </w:p>
    <w:p>
      <w:pPr>
        <w:spacing w:before="0" w:after="0" w:line="408" w:lineRule="exact"/>
        <w:ind w:left="0" w:right="0" w:firstLine="576"/>
        <w:jc w:val="left"/>
      </w:pPr>
      <w:r>
        <w:rPr/>
        <w:t xml:space="preserve">(x) Juvenile status offenses;</w:t>
      </w:r>
    </w:p>
    <w:p>
      <w:pPr>
        <w:spacing w:before="0" w:after="0" w:line="408" w:lineRule="exact"/>
        <w:ind w:left="0" w:right="0" w:firstLine="576"/>
        <w:jc w:val="left"/>
      </w:pPr>
      <w:r>
        <w:rPr/>
        <w:t xml:space="preserve">(xi) Juvenile offenders;</w:t>
      </w:r>
    </w:p>
    <w:p>
      <w:pPr>
        <w:spacing w:before="0" w:after="0" w:line="408" w:lineRule="exact"/>
        <w:ind w:left="0" w:right="0" w:firstLine="576"/>
        <w:jc w:val="left"/>
      </w:pPr>
      <w:r>
        <w:rPr/>
        <w:t xml:space="preserve">(xii) Self-representation issues;</w:t>
      </w:r>
    </w:p>
    <w:p>
      <w:pPr>
        <w:spacing w:before="0" w:after="0" w:line="408" w:lineRule="exact"/>
        <w:ind w:left="0" w:right="0" w:firstLine="576"/>
        <w:jc w:val="left"/>
      </w:pPr>
      <w:r>
        <w:rPr/>
        <w:t xml:space="preserve">(xiii) Cultural competency;</w:t>
      </w:r>
    </w:p>
    <w:p>
      <w:pPr>
        <w:spacing w:before="0" w:after="0" w:line="408" w:lineRule="exact"/>
        <w:ind w:left="0" w:right="0" w:firstLine="576"/>
        <w:jc w:val="left"/>
      </w:pPr>
      <w:r>
        <w:rPr/>
        <w:t xml:space="preserve">(xiv) Roles of family and juvenile court judges and commissioners;</w:t>
      </w:r>
    </w:p>
    <w:p>
      <w:pPr>
        <w:spacing w:before="0" w:after="0" w:line="408" w:lineRule="exact"/>
        <w:ind w:left="0" w:right="0" w:firstLine="576"/>
        <w:jc w:val="left"/>
      </w:pPr>
      <w:r>
        <w:rPr>
          <w:u w:val="single"/>
        </w:rPr>
        <w:t xml:space="preserve">(xv) The risk and danger presented to children and youth by </w:t>
      </w:r>
      <w:r>
        <w:rPr>
          <w:u w:val="single"/>
        </w:rPr>
        <w:t xml:space="preserve">high-potency</w:t>
      </w:r>
      <w:r>
        <w:rPr>
          <w:u w:val="single"/>
        </w:rPr>
        <w:t xml:space="preserve"> synthetic opioids consistent with public health guidance from the department of health related to high-potency synthetic opioids;</w:t>
      </w:r>
    </w:p>
    <w:p>
      <w:pPr>
        <w:spacing w:before="0" w:after="0" w:line="408" w:lineRule="exact"/>
        <w:ind w:left="0" w:right="0" w:firstLine="576"/>
        <w:jc w:val="left"/>
      </w:pPr>
      <w:r>
        <w:rPr>
          <w:u w:val="single"/>
        </w:rPr>
        <w:t xml:space="preserve">(xvi) Policies and procedures of the department of children, youth, and families regarding safety and service planning including the differences between safety plans and service plans; and</w:t>
      </w:r>
    </w:p>
    <w:p>
      <w:pPr>
        <w:spacing w:before="0" w:after="0" w:line="408" w:lineRule="exact"/>
        <w:ind w:left="0" w:right="0" w:firstLine="576"/>
        <w:jc w:val="left"/>
      </w:pPr>
      <w:r>
        <w:rPr>
          <w:u w:val="single"/>
        </w:rPr>
        <w:t xml:space="preserve">(xvii) The legal standards for removal of a child based on abuse or neglect;</w:t>
      </w:r>
      <w:r>
        <w:rPr/>
        <w:t xml:space="preserve"> and</w:t>
      </w:r>
    </w:p>
    <w:p>
      <w:pPr>
        <w:spacing w:before="0" w:after="0" w:line="408" w:lineRule="exact"/>
        <w:ind w:left="0" w:right="0" w:firstLine="576"/>
        <w:jc w:val="left"/>
      </w:pPr>
      <w:r>
        <w:rPr/>
        <w:t xml:space="preserve">(d) As part of the application for grant funds, submit a spending proposal detailing how the superior court would use the grant funds.</w:t>
      </w:r>
    </w:p>
    <w:p>
      <w:pPr>
        <w:spacing w:before="0" w:after="0" w:line="408" w:lineRule="exact"/>
        <w:ind w:left="0" w:right="0" w:firstLine="576"/>
        <w:jc w:val="left"/>
      </w:pPr>
      <w:r>
        <w:rPr/>
        <w:t xml:space="preserve">(2) Courts receiving grant money must use the funds to improve and support family and juvenile court operations based on standards developed by the administrator for the courts and approved by the board for judicial administration. The standards may allow courts to use the funds to:</w:t>
      </w:r>
    </w:p>
    <w:p>
      <w:pPr>
        <w:spacing w:before="0" w:after="0" w:line="408" w:lineRule="exact"/>
        <w:ind w:left="0" w:right="0" w:firstLine="576"/>
        <w:jc w:val="left"/>
      </w:pPr>
      <w:r>
        <w:rPr/>
        <w:t xml:space="preserve">(a) Pay for family and juvenile court training of commissioners and judges or pay for pro tem commissioners and judges to assist the court while the commissioners and judges receive training;</w:t>
      </w:r>
    </w:p>
    <w:p>
      <w:pPr>
        <w:spacing w:before="0" w:after="0" w:line="408" w:lineRule="exact"/>
        <w:ind w:left="0" w:right="0" w:firstLine="576"/>
        <w:jc w:val="left"/>
      </w:pPr>
      <w:r>
        <w:rPr/>
        <w:t xml:space="preserve">(b) </w:t>
      </w:r>
      <w:r>
        <w:rPr>
          <w:u w:val="single"/>
        </w:rPr>
        <w:t xml:space="preserve">Pay for the training of other professionals involved in child welfare court proceedings including, but not limited to, attorneys and guardians ad litem;</w:t>
      </w:r>
    </w:p>
    <w:p>
      <w:pPr>
        <w:spacing w:before="0" w:after="0" w:line="408" w:lineRule="exact"/>
        <w:ind w:left="0" w:right="0" w:firstLine="576"/>
        <w:jc w:val="left"/>
      </w:pPr>
      <w:r>
        <w:rPr>
          <w:u w:val="single"/>
        </w:rPr>
        <w:t xml:space="preserve">(c)</w:t>
      </w:r>
      <w:r>
        <w:rPr/>
        <w:t xml:space="preserve"> Increase judicial and nonjudicial staff, including administrative staff to improve case coordination and referrals in family and juvenile cases, guardian ad litem volunteers or court</w:t>
      </w:r>
      <w:r>
        <w:rPr/>
        <w:noBreakHyphen/>
      </w:r>
      <w:r>
        <w:rPr/>
        <w:t xml:space="preserve">appointed special advocates, security, and other staff;</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Improve the court facility to better meet the needs of children and families;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Improve referral and treatment options for court participants, including enhancing court facilitator programs and family treatment court and increasing the availability of alternative dispute resolution;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Enhance existing family and children support services funded by the courts and expand access to social service programs for families and children ordered by the court;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Improve or support family and juvenile court operations in any other way deemed appropriate by the administrator for the courts.</w:t>
      </w:r>
    </w:p>
    <w:p>
      <w:pPr>
        <w:spacing w:before="0" w:after="0" w:line="408" w:lineRule="exact"/>
        <w:ind w:left="0" w:right="0" w:firstLine="576"/>
        <w:jc w:val="left"/>
      </w:pPr>
      <w:r>
        <w:rPr/>
        <w:t xml:space="preserve">(3) The administrator for the courts shall allocate available grant moneys based upon the needs of the court as expressed in their local improvement plan.</w:t>
      </w:r>
    </w:p>
    <w:p>
      <w:pPr>
        <w:spacing w:before="0" w:after="0" w:line="408" w:lineRule="exact"/>
        <w:ind w:left="0" w:right="0" w:firstLine="576"/>
        <w:jc w:val="left"/>
      </w:pPr>
      <w:r>
        <w:rPr/>
        <w:t xml:space="preserve">(4) Money received by the superior court under this program must be used to supplement, not supplant, any other local, state, and federal funds for the court.</w:t>
      </w:r>
    </w:p>
    <w:p>
      <w:pPr>
        <w:spacing w:before="0" w:after="0" w:line="408" w:lineRule="exact"/>
        <w:ind w:left="0" w:right="0" w:firstLine="576"/>
        <w:jc w:val="left"/>
      </w:pPr>
      <w:r>
        <w:rPr/>
        <w:t xml:space="preserve">(5) Upon receipt of grant funds, the superior court shall submit to the administrator for the courts a spending plan detailing the use of funds. At the end of the fiscal year, the superior court shall submit to the administrator for the courts a financial report comparing the spending plan to actual expenditures. The administrator for the courts shall compile the financial reports and submit them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in collaboration with the department of children, youth, and families, shall convene a work group on children and exposure to fentanyl to provide information for child welfare workers, juvenile courts, and families regarding the risks of fentanyl exposure for children and child welfare workers in child protective services investigations. The information shall be made available to child welfare court professionals, including:</w:t>
      </w:r>
    </w:p>
    <w:p>
      <w:pPr>
        <w:spacing w:before="0" w:after="0" w:line="408" w:lineRule="exact"/>
        <w:ind w:left="0" w:right="0" w:firstLine="576"/>
        <w:jc w:val="left"/>
      </w:pPr>
      <w:r>
        <w:rPr/>
        <w:t xml:space="preserve">(a) Department of children, youth, and families employees supporting or providing child welfare services as defined in RCW 74.13.020 or child protective services as defined in RCW 26.44.020;</w:t>
      </w:r>
    </w:p>
    <w:p>
      <w:pPr>
        <w:spacing w:before="0" w:after="0" w:line="408" w:lineRule="exact"/>
        <w:ind w:left="0" w:right="0" w:firstLine="576"/>
        <w:jc w:val="left"/>
      </w:pPr>
      <w:r>
        <w:rPr/>
        <w:t xml:space="preserve">(b) Attorneys;</w:t>
      </w:r>
    </w:p>
    <w:p>
      <w:pPr>
        <w:spacing w:before="0" w:after="0" w:line="408" w:lineRule="exact"/>
        <w:ind w:left="0" w:right="0" w:firstLine="576"/>
        <w:jc w:val="left"/>
      </w:pPr>
      <w:r>
        <w:rPr/>
        <w:t xml:space="preserve">(c) Judicial officers; and</w:t>
      </w:r>
    </w:p>
    <w:p>
      <w:pPr>
        <w:spacing w:before="0" w:after="0" w:line="408" w:lineRule="exact"/>
        <w:ind w:left="0" w:right="0" w:firstLine="576"/>
        <w:jc w:val="left"/>
      </w:pPr>
      <w:r>
        <w:rPr/>
        <w:t xml:space="preserve">(d) Guardians ad litem.</w:t>
      </w:r>
    </w:p>
    <w:p>
      <w:pPr>
        <w:spacing w:before="0" w:after="0" w:line="408" w:lineRule="exact"/>
        <w:ind w:left="0" w:right="0" w:firstLine="576"/>
        <w:jc w:val="left"/>
      </w:pPr>
      <w:r>
        <w:rPr/>
        <w:t xml:space="preserve">(2) This section expires July 1, 2025.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SERVICES FOR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for contracted child care slots for infants in child protective services in locales with the historically highest rates of child welfare screened-in intake due to the exposure or presence of high-potency synthetic opioids in the home, which may be used as part of a safety plan. Unused slots under this section may be used for children who are screened in due to a parent's substance use disorder when the substance use disorder is related to a substance other than a high-potency synthetic opioid.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Home visiting established by RCW 43.216.130 has been shown to enhance child development and well-being by reducing the incidence of child abuse and neglect, promoting connection to community-based supports, and increasing school readiness for young children and their families.</w:t>
      </w:r>
    </w:p>
    <w:p>
      <w:pPr>
        <w:spacing w:before="0" w:after="0" w:line="408" w:lineRule="exact"/>
        <w:ind w:left="0" w:right="0" w:firstLine="576"/>
        <w:jc w:val="left"/>
      </w:pPr>
      <w:r>
        <w:rPr/>
        <w:t xml:space="preserve">(2) Subject to the availability of amounts appropriated for this specific purpose, the department shall enter into targeted contracts with existing home visiting programs established by RCW 43.216.130 in locales with the historically highest rates of child welfare screened-in intake to serve families.</w:t>
      </w:r>
    </w:p>
    <w:p>
      <w:pPr>
        <w:spacing w:before="0" w:after="0" w:line="408" w:lineRule="exact"/>
        <w:ind w:left="0" w:right="0" w:firstLine="576"/>
        <w:jc w:val="left"/>
      </w:pPr>
      <w:r>
        <w:rPr/>
        <w:t xml:space="preserve">(3) Targeted contracted home visiting slots for families experiencing high-potency synthetic opioid-related substance use disorder promotes expedited access to supports that enhance strengthened parenting skills and allows home visiting providers to have predictable funding. Any targeted contracted slots the department creates under this section must meet the requirements as provided for in this act.</w:t>
      </w:r>
    </w:p>
    <w:p>
      <w:pPr>
        <w:spacing w:before="0" w:after="0" w:line="408" w:lineRule="exact"/>
        <w:ind w:left="0" w:right="0" w:firstLine="576"/>
        <w:jc w:val="left"/>
      </w:pPr>
      <w:r>
        <w:rPr/>
        <w:t xml:space="preserve">(4) Only existing home visiting providers are eligible to be awarded targeted contracted slots. The targeted contracted slots are reserved for programs in locales with the historically highest rates of child welfare screened-in intakes.</w:t>
      </w:r>
    </w:p>
    <w:p>
      <w:pPr>
        <w:spacing w:before="0" w:after="0" w:line="408" w:lineRule="exact"/>
        <w:ind w:left="0" w:right="0" w:firstLine="576"/>
        <w:jc w:val="left"/>
      </w:pPr>
      <w:r>
        <w:rPr/>
        <w:t xml:space="preserve">(5) The department shall provide training specific to substance use disorders for the home visiting providers selected for this program.</w:t>
      </w:r>
    </w:p>
    <w:p>
      <w:pPr>
        <w:spacing w:before="0" w:after="0" w:line="408" w:lineRule="exact"/>
        <w:ind w:left="0" w:right="0" w:firstLine="576"/>
        <w:jc w:val="left"/>
      </w:pPr>
      <w:r>
        <w:rPr/>
        <w:t xml:space="preserve">(6) Families referred to home visiting services via the process established in subsection (8) of this section must be contacted by the contracted program within seven days of referral.</w:t>
      </w:r>
    </w:p>
    <w:p>
      <w:pPr>
        <w:spacing w:before="0" w:after="0" w:line="408" w:lineRule="exact"/>
        <w:ind w:left="0" w:right="0" w:firstLine="576"/>
        <w:jc w:val="left"/>
      </w:pPr>
      <w:r>
        <w:rPr/>
        <w:t xml:space="preserve">(7) The department shall award the contracted slots via a competitive process. The department shall pay providers for each targeted contracted slot using the rate provided to existing home visiting providers.</w:t>
      </w:r>
    </w:p>
    <w:p>
      <w:pPr>
        <w:spacing w:before="0" w:after="0" w:line="408" w:lineRule="exact"/>
        <w:ind w:left="0" w:right="0" w:firstLine="576"/>
        <w:jc w:val="left"/>
      </w:pPr>
      <w:r>
        <w:rPr/>
        <w:t xml:space="preserve">(8) Eligible families shall be referred to the targeted contracted slots through a referral process developed by the department. The referral process shall include referrals from the department's child welfare staff as well as community organizations working with families meeting the criteria established in subsection (9) of this section.</w:t>
      </w:r>
    </w:p>
    <w:p>
      <w:pPr>
        <w:spacing w:before="0" w:after="0" w:line="408" w:lineRule="exact"/>
        <w:ind w:left="0" w:right="0" w:firstLine="576"/>
        <w:jc w:val="left"/>
      </w:pPr>
      <w:r>
        <w:rPr/>
        <w:t xml:space="preserve">(9) Priority for targeted contracted home visiting slots shall be given to:</w:t>
      </w:r>
    </w:p>
    <w:p>
      <w:pPr>
        <w:spacing w:before="0" w:after="0" w:line="408" w:lineRule="exact"/>
        <w:ind w:left="0" w:right="0" w:firstLine="576"/>
        <w:jc w:val="left"/>
      </w:pPr>
      <w:r>
        <w:rPr/>
        <w:t xml:space="preserve">(a) Families with child protective services open cases;</w:t>
      </w:r>
    </w:p>
    <w:p>
      <w:pPr>
        <w:spacing w:before="0" w:after="0" w:line="408" w:lineRule="exact"/>
        <w:ind w:left="0" w:right="0" w:firstLine="576"/>
        <w:jc w:val="left"/>
      </w:pPr>
      <w:r>
        <w:rPr/>
        <w:t xml:space="preserve">(b) Families with family assessment response open cases; and</w:t>
      </w:r>
    </w:p>
    <w:p>
      <w:pPr>
        <w:spacing w:before="0" w:after="0" w:line="408" w:lineRule="exact"/>
        <w:ind w:left="0" w:right="0" w:firstLine="576"/>
        <w:jc w:val="left"/>
      </w:pPr>
      <w:r>
        <w:rPr/>
        <w:t xml:space="preserve">(c) Families with family voluntary services open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expand specific treatment and services to children and youth with prenatal substance exposure who would benefit from evidence-based services impacting their behavioral and physical health.</w:t>
      </w:r>
    </w:p>
    <w:p>
      <w:pPr>
        <w:spacing w:before="0" w:after="0" w:line="408" w:lineRule="exact"/>
        <w:ind w:left="0" w:right="0" w:firstLine="576"/>
        <w:jc w:val="left"/>
      </w:pPr>
      <w:r>
        <w:rPr/>
        <w:t xml:space="preserve">(2) The authority shall contract for the services authorized in this section with behavioral health entities in a manner that allows leveraging of federal medicaid funds to pay for a portion of the costs.</w:t>
      </w:r>
    </w:p>
    <w:p>
      <w:pPr>
        <w:spacing w:before="0" w:after="0" w:line="408" w:lineRule="exact"/>
        <w:ind w:left="0" w:right="0" w:firstLine="576"/>
        <w:jc w:val="left"/>
      </w:pPr>
      <w:r>
        <w:rPr/>
        <w:t xml:space="preserve">(3) The authority shall consult with the department of children, youth, and families in the implementation of the program and services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provide funding and support for two pilot programs to implement an evidence-based, comprehensive, intensive, in-home parenting services support model to serve children and families from birth to age 18 who are involved in child welfare, children's mental health, or juvenile justice systems.</w:t>
      </w:r>
    </w:p>
    <w:p>
      <w:pPr>
        <w:spacing w:before="0" w:after="0" w:line="408" w:lineRule="exact"/>
        <w:ind w:left="0" w:right="0" w:firstLine="576"/>
        <w:jc w:val="left"/>
      </w:pPr>
      <w:r>
        <w:rPr/>
        <w:t xml:space="preserve">(2) The pilot programs established in this section are intended to prevent or limit out-of-home placement through trauma-informed support to the child, caregivers, and families with three in-person, in-home sessions per week and provide on-call crisis support 24 hours a day, seven days a week. </w:t>
      </w:r>
    </w:p>
    <w:p>
      <w:pPr>
        <w:spacing w:before="0" w:after="0" w:line="408" w:lineRule="exact"/>
        <w:ind w:left="0" w:right="0" w:firstLine="576"/>
        <w:jc w:val="left"/>
      </w:pPr>
      <w:r>
        <w:rPr/>
        <w:t xml:space="preserve">(3) One pilot program established in this section will serve families west of the crest of the Cascade mountain range and one pilot program established in this section will serve families east of the crest of the Cascade mountain range. Each pilot program will build upon existing programs to avoid duplication of existing services available to children and families at risk of entering the child welfare system.</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funds for this specific purpose, the department of health shall provide funding to support promotoras in at least two communities. These promotoras shall provide culturally sensitive, lay health education for the Latinx community, and act as liaisons between their community, health professionals, and human and social service organizations.</w:t>
      </w:r>
    </w:p>
    <w:p>
      <w:pPr>
        <w:spacing w:before="0" w:after="0" w:line="408" w:lineRule="exact"/>
        <w:ind w:left="0" w:right="0" w:firstLine="576"/>
        <w:jc w:val="left"/>
      </w:pPr>
      <w:r>
        <w:rPr/>
        <w:t xml:space="preserve">(2) In determining which communities will be served by the promotoras under this section, the department of health shall provide funding to support one community west of the crest of the Cascade mountain range and one community east of the crest of the Cascade mountain range.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to include third-party safety plan participants and public health nurses in child protective services safety planning. The pilot program established in this section must:</w:t>
      </w:r>
    </w:p>
    <w:p>
      <w:pPr>
        <w:spacing w:before="0" w:after="0" w:line="408" w:lineRule="exact"/>
        <w:ind w:left="0" w:right="0" w:firstLine="576"/>
        <w:jc w:val="left"/>
      </w:pPr>
      <w:r>
        <w:rPr/>
        <w:t xml:space="preserve">(1) Include contracts in up to four department offices for third-party safety plan participants and public health nurses to support child protective services workers in safety planning; and</w:t>
      </w:r>
    </w:p>
    <w:p>
      <w:pPr>
        <w:spacing w:before="0" w:after="0" w:line="408" w:lineRule="exact"/>
        <w:ind w:left="0" w:right="0" w:firstLine="576"/>
        <w:jc w:val="left"/>
      </w:pPr>
      <w:r>
        <w:rPr/>
        <w:t xml:space="preserve">(2) Provide support for cases involving high-potency synthetic opioids and families who do not have natural supports to aid in safety planning.</w:t>
      </w:r>
    </w:p>
    <w:p/>
    <w:p>
      <w:pPr>
        <w:jc w:val="center"/>
      </w:pPr>
      <w:r>
        <w:rPr>
          <w:b/>
        </w:rPr>
        <w:t>--- END ---</w:t>
      </w:r>
    </w:p>
    <w:sectPr>
      <w:pgNumType w:start="1"/>
      <w:footerReference xmlns:r="http://schemas.openxmlformats.org/officeDocument/2006/relationships" r:id="R2a33b0542e5d48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e011cc88f8477e" /><Relationship Type="http://schemas.openxmlformats.org/officeDocument/2006/relationships/footer" Target="/word/footer1.xml" Id="R2a33b0542e5d48de" /></Relationships>
</file>