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aef1252204b16" /></Relationships>
</file>

<file path=word/document.xml><?xml version="1.0" encoding="utf-8"?>
<w:document xmlns:w="http://schemas.openxmlformats.org/wordprocessingml/2006/main">
  <w:body>
    <w:p>
      <w:r>
        <w:t>S-3867.2</w:t>
      </w:r>
    </w:p>
    <w:p>
      <w:pPr>
        <w:jc w:val="center"/>
      </w:pPr>
      <w:r>
        <w:t>_______________________________________________</w:t>
      </w:r>
    </w:p>
    <w:p/>
    <w:p>
      <w:pPr>
        <w:jc w:val="center"/>
      </w:pPr>
      <w:r>
        <w:rPr>
          <w:b/>
        </w:rPr>
        <w:t>SENATE BILL 6109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Boehnke, Braun, Gildon, Hasegawa, Kuderer, Liias, Lovelett, Lovick, Nguyen, Nobles, Saldaña, Short, Warnick, and J. Wilson</w:t>
      </w:r>
    </w:p>
    <w:p/>
    <w:p>
      <w:r>
        <w:rPr>
          <w:t xml:space="preserve">Read first time 01/10/24.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removal process in circumstances involving high-potency synthetic opioids; amending RCW 13.34.050, 26.44.050, 26.44.056, 26.44.030, and 2.56.230; reenacting and amending RCW 13.34.065 and 74.14B.005; adding a new section to chapter 74.13 RCW; adding new sections to chapter 74.14B RCW; adding new sections to chapter 43.216 RCW; adding a new section to chapter 41.05 RCW;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fentanyl and other highly potent synthetic opioids pose a unique and growing threat to the safety of children in Washington state. The legislature further finds that state action is necessary to prevent critical incidents and death of vulnerable children in the wake of the fentanyl epidemic statewide.</w:t>
      </w:r>
    </w:p>
    <w:p>
      <w:pPr>
        <w:spacing w:before="0" w:after="0" w:line="408" w:lineRule="exact"/>
        <w:ind w:left="0" w:right="0" w:firstLine="576"/>
        <w:jc w:val="left"/>
      </w:pPr>
      <w:r>
        <w:rPr/>
        <w:t xml:space="preserve">(2) The legislature recognizes that Engrossed Second Substitute House Bill No. 1227 was enacted in 2021 and took full effect July 1, 2023. In enacting Engrossed Second Substitute House Bill No. 1227, the legislature stated that it found that children and families are better served when the state provides support to allow children to be cared for by loved ones and in their own communities. The legislature renews and reaffirms this intent and also recognizes the unprecedented risk of fatality to children posed by the presence or exposure to fentanyl and other highly potent synthetic opioids.</w:t>
      </w:r>
    </w:p>
    <w:p>
      <w:pPr>
        <w:spacing w:before="0" w:after="0" w:line="408" w:lineRule="exact"/>
        <w:ind w:left="0" w:right="0" w:firstLine="576"/>
        <w:jc w:val="left"/>
      </w:pPr>
      <w:r>
        <w:rPr/>
        <w:t xml:space="preserve">(3) The legislature intends to provide clarity to judges, social workers, advocates, and families and direct guidance about the safety threat that highly potent synthetic opioids pose to vulnerable children. The legislature declares that the presence or exposure of highly potent synthetic opioids should be given great weight in determining whether a child is in imminent physical harm as a result of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w:t>
      </w:r>
      <w:r>
        <w:rPr>
          <w:u w:val="single"/>
        </w:rPr>
        <w:t xml:space="preserve">(a)</w:t>
      </w:r>
      <w:r>
        <w:rPr/>
        <w:t xml:space="preserve"> The court may enter an order directing a law enforcement officer, probation counselor, or child protective services official to take a child into custody if: </w:t>
      </w:r>
      <w:r>
        <w:t>((</w:t>
      </w:r>
      <w:r>
        <w:rPr>
          <w:strike/>
        </w:rPr>
        <w:t xml:space="preserve">(a)</w:t>
      </w:r>
      <w:r>
        <w:t>))</w:t>
      </w:r>
      <w:r>
        <w:rPr/>
        <w:t xml:space="preserve"> </w:t>
      </w:r>
      <w:r>
        <w:rPr>
          <w:u w:val="single"/>
        </w:rPr>
        <w:t xml:space="preserve">(i)</w:t>
      </w:r>
      <w:r>
        <w:rPr/>
        <w:t xml:space="preserve"> A petition is filed with the juvenile court with sufficient corroborating evidence to establish that the child is dependent; </w:t>
      </w:r>
      <w:r>
        <w:t>((</w:t>
      </w:r>
      <w:r>
        <w:rPr>
          <w:strike/>
        </w:rPr>
        <w:t xml:space="preserve">(b)</w:t>
      </w:r>
      <w:r>
        <w:t>))</w:t>
      </w:r>
      <w:r>
        <w:rPr/>
        <w:t xml:space="preserve"> </w:t>
      </w:r>
      <w:r>
        <w:rPr>
          <w:u w:val="single"/>
        </w:rPr>
        <w:t xml:space="preserve">(ii)</w:t>
      </w:r>
      <w:r>
        <w:rPr/>
        <w:t xml:space="preserve"> the allegations contained in the petition, if true, establish that there are reasonable grounds to believe that removal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w:t>
      </w:r>
      <w:r>
        <w:t>((</w:t>
      </w:r>
      <w:r>
        <w:rPr>
          <w:strike/>
        </w:rPr>
        <w:t xml:space="preserve">(c)</w:t>
      </w:r>
      <w:r>
        <w:t>))</w:t>
      </w:r>
      <w:r>
        <w:rPr/>
        <w:t xml:space="preserve"> </w:t>
      </w:r>
      <w:r>
        <w:rPr>
          <w:u w:val="single"/>
        </w:rPr>
        <w:t xml:space="preserve">(iii)</w:t>
      </w:r>
      <w:r>
        <w:rPr/>
        <w:t xml:space="preserve"> an affidavit or declaration is filed by the department in support of the petition setting forth specific factual information evidencing insufficient time to serve a parent with a dependency petition and hold a hearing prior to removal.</w:t>
      </w:r>
    </w:p>
    <w:p>
      <w:pPr>
        <w:spacing w:before="0" w:after="0" w:line="408" w:lineRule="exact"/>
        <w:ind w:left="0" w:right="0" w:firstLine="576"/>
        <w:jc w:val="left"/>
      </w:pPr>
      <w:r>
        <w:rPr>
          <w:u w:val="single"/>
        </w:rPr>
        <w:t xml:space="preserve">(b) The child abuse or neglect establishing the basis for a determination of imminent physical harm under (a) of this subsection may include, but is not limited to, child abuse or neglect resulting from:</w:t>
      </w:r>
    </w:p>
    <w:p>
      <w:pPr>
        <w:spacing w:before="0" w:after="0" w:line="408" w:lineRule="exact"/>
        <w:ind w:left="0" w:right="0" w:firstLine="576"/>
        <w:jc w:val="left"/>
      </w:pPr>
      <w:r>
        <w:rPr>
          <w:u w:val="single"/>
        </w:rPr>
        <w:t xml:space="preserve">(i) Sexual abuse;</w:t>
      </w:r>
    </w:p>
    <w:p>
      <w:pPr>
        <w:spacing w:before="0" w:after="0" w:line="408" w:lineRule="exact"/>
        <w:ind w:left="0" w:right="0" w:firstLine="576"/>
        <w:jc w:val="left"/>
      </w:pPr>
      <w:r>
        <w:rPr>
          <w:u w:val="single"/>
        </w:rPr>
        <w:t xml:space="preserve">(ii) Sexual exploitation;</w:t>
      </w:r>
    </w:p>
    <w:p>
      <w:pPr>
        <w:spacing w:before="0" w:after="0" w:line="408" w:lineRule="exact"/>
        <w:ind w:left="0" w:right="0" w:firstLine="576"/>
        <w:jc w:val="left"/>
      </w:pPr>
      <w:r>
        <w:rPr>
          <w:u w:val="single"/>
        </w:rPr>
        <w:t xml:space="preserve">(iii) Presence of a high-potency synthetic opioid in the home or exposure of the child to a high-potency synthetic opioid; or</w:t>
      </w:r>
    </w:p>
    <w:p>
      <w:pPr>
        <w:spacing w:before="0" w:after="0" w:line="408" w:lineRule="exact"/>
        <w:ind w:left="0" w:right="0" w:firstLine="576"/>
        <w:jc w:val="left"/>
      </w:pPr>
      <w:r>
        <w:rPr>
          <w:u w:val="single"/>
        </w:rPr>
        <w:t xml:space="preserve">(iv) A pattern of severe neglect.</w:t>
      </w:r>
    </w:p>
    <w:p>
      <w:pPr>
        <w:spacing w:before="0" w:after="0" w:line="408" w:lineRule="exact"/>
        <w:ind w:left="0" w:right="0" w:firstLine="576"/>
        <w:jc w:val="left"/>
      </w:pPr>
      <w:r>
        <w:rPr>
          <w:u w:val="single"/>
        </w:rPr>
        <w:t xml:space="preserve">(c) The court shall give great weight to the presence of a </w:t>
      </w:r>
      <w:r>
        <w:rPr>
          <w:u w:val="single"/>
        </w:rPr>
        <w:t xml:space="preserve">high-potency</w:t>
      </w:r>
      <w:r>
        <w:rPr>
          <w:u w:val="single"/>
        </w:rPr>
        <w:t xml:space="preserve"> synthetic opioid in the home or exposure of the child by a parent, guardian, or legal custodian to a high-potency synthetic opioid, which may require removal of the child to prevent imminent physical harm due to child abuse or neglect. When evaluating whether the presence of a high-potency synthetic opioid in the home or exposure of the child by a parent, guardian, or legal custodian to a high-potency synthetic opioid necessitates removal of the child, the court shall consider the following factors:</w:t>
      </w:r>
    </w:p>
    <w:p>
      <w:pPr>
        <w:spacing w:before="0" w:after="0" w:line="408" w:lineRule="exact"/>
        <w:ind w:left="0" w:right="0" w:firstLine="576"/>
        <w:jc w:val="left"/>
      </w:pPr>
      <w:r>
        <w:rPr>
          <w:u w:val="single"/>
        </w:rPr>
        <w:t xml:space="preserve">(i) Age of the child or children in the home;</w:t>
      </w:r>
    </w:p>
    <w:p>
      <w:pPr>
        <w:spacing w:before="0" w:after="0" w:line="408" w:lineRule="exact"/>
        <w:ind w:left="0" w:right="0" w:firstLine="576"/>
        <w:jc w:val="left"/>
      </w:pPr>
      <w:r>
        <w:rPr>
          <w:u w:val="single"/>
        </w:rPr>
        <w:t xml:space="preserve">(ii) Whether the child is particularly vulnerable given the child's medical or developmental conditions; and</w:t>
      </w:r>
    </w:p>
    <w:p>
      <w:pPr>
        <w:spacing w:before="0" w:after="0" w:line="408" w:lineRule="exact"/>
        <w:ind w:left="0" w:right="0" w:firstLine="576"/>
        <w:jc w:val="left"/>
      </w:pPr>
      <w:r>
        <w:rPr>
          <w:u w:val="single"/>
        </w:rPr>
        <w:t xml:space="preserve">(iii) The risk of accidental ingestion or inhalation.</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presence of a high-potency synthetic opioid in the home or exposure of the child by a parent, guardian, or legal custodian to a high-potency synthetic opioid, which may require removal of the child to prevent imminent physical harm due to child abuse or neglect. When evaluating whether the presence of a high-potency synthetic opioid in the home or exposure of the child by a parent, guardian, or legal custodian to a high-potency synthetic opioid necessitates removal of the child, the court shall consider the following factors: (1) Age of the child or children in the home; (2) whether the child is particularly vulnerable given the child's medical or developmental conditions; and (3) the risk of accidental ingestion or inhalation</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The child abuse or neglect establishing the basis for a determination of imminent physical harm under subsection (2) of this section may include, but is not limited to, child abuse or neglect resulting from:</w:t>
      </w:r>
    </w:p>
    <w:p>
      <w:pPr>
        <w:spacing w:before="0" w:after="0" w:line="408" w:lineRule="exact"/>
        <w:ind w:left="0" w:right="0" w:firstLine="576"/>
        <w:jc w:val="left"/>
      </w:pPr>
      <w:r>
        <w:rPr>
          <w:u w:val="single"/>
        </w:rPr>
        <w:t xml:space="preserve">(a) Sexual abuse;</w:t>
      </w:r>
    </w:p>
    <w:p>
      <w:pPr>
        <w:spacing w:before="0" w:after="0" w:line="408" w:lineRule="exact"/>
        <w:ind w:left="0" w:right="0" w:firstLine="576"/>
        <w:jc w:val="left"/>
      </w:pPr>
      <w:r>
        <w:rPr>
          <w:u w:val="single"/>
        </w:rPr>
        <w:t xml:space="preserve">(b) Sexual exploitation;</w:t>
      </w:r>
    </w:p>
    <w:p>
      <w:pPr>
        <w:spacing w:before="0" w:after="0" w:line="408" w:lineRule="exact"/>
        <w:ind w:left="0" w:right="0" w:firstLine="576"/>
        <w:jc w:val="left"/>
      </w:pPr>
      <w:r>
        <w:rPr>
          <w:u w:val="single"/>
        </w:rPr>
        <w:t xml:space="preserve">(c) Presence of a high-potency synthetic opioid in the home or exposure of the child to a high-potency synthetic opioid; or</w:t>
      </w:r>
    </w:p>
    <w:p>
      <w:pPr>
        <w:spacing w:before="0" w:after="0" w:line="408" w:lineRule="exact"/>
        <w:ind w:left="0" w:right="0" w:firstLine="576"/>
        <w:jc w:val="left"/>
      </w:pPr>
      <w:r>
        <w:rPr>
          <w:u w:val="single"/>
        </w:rPr>
        <w:t xml:space="preserve">(d)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w:t>
      </w:r>
      <w:r>
        <w:rPr>
          <w:u w:val="single"/>
        </w:rPr>
        <w:t xml:space="preserve">(a)</w:t>
      </w:r>
      <w:r>
        <w:rPr/>
        <w:t xml:space="preserve">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u w:val="single"/>
        </w:rPr>
        <w:t xml:space="preserve">(b) The child abuse or neglect establishing the basis for a determination of imminent physical harm under (a) of this subsection may include, but is not limited to, child abuse or neglect resulting from:</w:t>
      </w:r>
    </w:p>
    <w:p>
      <w:pPr>
        <w:spacing w:before="0" w:after="0" w:line="408" w:lineRule="exact"/>
        <w:ind w:left="0" w:right="0" w:firstLine="576"/>
        <w:jc w:val="left"/>
      </w:pPr>
      <w:r>
        <w:rPr>
          <w:u w:val="single"/>
        </w:rPr>
        <w:t xml:space="preserve">(i) Sexual abuse;</w:t>
      </w:r>
    </w:p>
    <w:p>
      <w:pPr>
        <w:spacing w:before="0" w:after="0" w:line="408" w:lineRule="exact"/>
        <w:ind w:left="0" w:right="0" w:firstLine="576"/>
        <w:jc w:val="left"/>
      </w:pPr>
      <w:r>
        <w:rPr>
          <w:u w:val="single"/>
        </w:rPr>
        <w:t xml:space="preserve">(ii) Sexual exploitation;</w:t>
      </w:r>
    </w:p>
    <w:p>
      <w:pPr>
        <w:spacing w:before="0" w:after="0" w:line="408" w:lineRule="exact"/>
        <w:ind w:left="0" w:right="0" w:firstLine="576"/>
        <w:jc w:val="left"/>
      </w:pPr>
      <w:r>
        <w:rPr>
          <w:u w:val="single"/>
        </w:rPr>
        <w:t xml:space="preserve">(iii) Presence of a high-potency synthetic opioid in the home or exposure of the child to a high-potency synthetic opioid; or</w:t>
      </w:r>
    </w:p>
    <w:p>
      <w:pPr>
        <w:spacing w:before="0" w:after="0" w:line="408" w:lineRule="exact"/>
        <w:ind w:left="0" w:right="0" w:firstLine="576"/>
        <w:jc w:val="left"/>
      </w:pPr>
      <w:r>
        <w:rPr>
          <w:u w:val="single"/>
        </w:rPr>
        <w:t xml:space="preserve">(iv) A pattern of severe neglect.</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w:t>
      </w:r>
      <w:r>
        <w:rPr>
          <w:u w:val="single"/>
        </w:rPr>
        <w:t xml:space="preserve">(a)</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u w:val="single"/>
        </w:rPr>
        <w:t xml:space="preserve">(b)(i) The department shall develop and make available to department staff a high-potency synthetic opioid-specific risk assessment tool to be used by department staff to determine the appropriate safety measures to take when investigating alleged child abuse and neglect referrals when high-potency synthetic opioid use or the presence of high-potency synthetic opioids is suspected or confirmed.</w:t>
      </w:r>
    </w:p>
    <w:p>
      <w:pPr>
        <w:spacing w:before="0" w:after="0" w:line="408" w:lineRule="exact"/>
        <w:ind w:left="0" w:right="0" w:firstLine="576"/>
        <w:jc w:val="left"/>
      </w:pPr>
      <w:r>
        <w:rPr>
          <w:u w:val="single"/>
        </w:rPr>
        <w:t xml:space="preserve">(ii) The department may use an existing risk assessment instead of developing a high-potency synthetic opioid-specific risk assessment tool if the existing risk assessment includes the safety measures as described in (b)(i) of this subsection</w:t>
      </w:r>
      <w:r>
        <w:rPr>
          <w:b/>
          <w:u w:val="single"/>
        </w:rPr>
        <w:t xml:space="preserve">.</w:t>
      </w:r>
    </w:p>
    <w:p>
      <w:pPr>
        <w:spacing w:before="0" w:after="0" w:line="408" w:lineRule="exact"/>
        <w:ind w:left="0" w:right="0" w:firstLine="576"/>
        <w:jc w:val="left"/>
      </w:pPr>
      <w:r>
        <w:rPr>
          <w:u w:val="single"/>
        </w:rPr>
        <w:t xml:space="preserve">(c) </w:t>
      </w:r>
      <w:r>
        <w:rPr>
          <w:u w:val="single"/>
        </w:rPr>
        <w:t xml:space="preserve">The department shall also make available to department staff high-potency synthetic opioid testing strips that can detect the presence of high-potency synthetic opioids that may be used when investigating alleged child abuse and neglect referrals and otherwise as appropriate.</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in families who do not have natural supports to aid in safety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abuse;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The risk and danger presented to children and youth by </w:t>
      </w:r>
      <w:r>
        <w:rPr>
          <w:u w:val="single"/>
        </w:rPr>
        <w:t xml:space="preserve">high-potency</w:t>
      </w:r>
      <w:r>
        <w:rPr>
          <w:u w:val="single"/>
        </w:rPr>
        <w:t xml:space="preserve"> synthetic opioids; and</w:t>
      </w:r>
    </w:p>
    <w:p>
      <w:pPr>
        <w:spacing w:before="0" w:after="0" w:line="408" w:lineRule="exact"/>
        <w:ind w:left="0" w:right="0" w:firstLine="576"/>
        <w:jc w:val="left"/>
      </w:pPr>
      <w:r>
        <w:rPr>
          <w:u w:val="single"/>
        </w:rPr>
        <w:t xml:space="preserve">(xvi)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005</w:t>
      </w:r>
      <w:r>
        <w:rPr/>
        <w:t xml:space="preserve"> and 2019 c 470 s 18 and 2019 c 64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u w:val="single"/>
        </w:rPr>
        <w:t xml:space="preserve">(2)</w:t>
      </w:r>
      <w:r>
        <w:rPr/>
        <w:t xml:space="preserve"> "Department" means the department of children, youth, and families.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(1) A child welfare worker who is required to respond to a private home or other private location to provide services to, monitor, or investigate a family may make a request to their supervisor to be accompanied by a second trained individual when the child welfare worker has concerns that violence could occur based on a family member's history of violence.</w:t>
      </w:r>
    </w:p>
    <w:p>
      <w:pPr>
        <w:spacing w:before="0" w:after="0" w:line="408" w:lineRule="exact"/>
        <w:ind w:left="0" w:right="0" w:firstLine="576"/>
        <w:jc w:val="left"/>
      </w:pPr>
      <w:r>
        <w:rPr/>
        <w:t xml:space="preserve">(2) When a request is made under subsection (1) of this section, the department shall arrange for a second trained individual to accompany the child welfare worker unless it is not possible to fulfill the request under the circumstances.</w:t>
      </w:r>
    </w:p>
    <w:p>
      <w:pPr>
        <w:spacing w:before="0" w:after="0" w:line="408" w:lineRule="exact"/>
        <w:ind w:left="0" w:right="0" w:firstLine="576"/>
        <w:jc w:val="left"/>
      </w:pPr>
      <w:r>
        <w:rPr/>
        <w:t xml:space="preserve">(3) The second trained individual that may accompany a child welfare worker under this section may be:</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mental health professional;</w:t>
      </w:r>
    </w:p>
    <w:p>
      <w:pPr>
        <w:spacing w:before="0" w:after="0" w:line="408" w:lineRule="exact"/>
        <w:ind w:left="0" w:right="0" w:firstLine="576"/>
        <w:jc w:val="left"/>
      </w:pPr>
      <w:r>
        <w:rPr/>
        <w:t xml:space="preserve">(c) A first responder, such as a firefighter or emergency medical personnel;</w:t>
      </w:r>
    </w:p>
    <w:p>
      <w:pPr>
        <w:spacing w:before="0" w:after="0" w:line="408" w:lineRule="exact"/>
        <w:ind w:left="0" w:right="0" w:firstLine="576"/>
        <w:jc w:val="left"/>
      </w:pPr>
      <w:r>
        <w:rPr/>
        <w:t xml:space="preserve">(d) A public health nurse; or</w:t>
      </w:r>
    </w:p>
    <w:p>
      <w:pPr>
        <w:spacing w:before="0" w:after="0" w:line="408" w:lineRule="exact"/>
        <w:ind w:left="0" w:right="0" w:firstLine="576"/>
        <w:jc w:val="left"/>
      </w:pPr>
      <w:r>
        <w:rPr/>
        <w:t xml:space="preserve">(e) An employee of the department who is trained as a child welfare worker and acts in a supervisory capacity with respect to other child welfare workers.</w:t>
      </w:r>
    </w:p>
    <w:p>
      <w:pPr>
        <w:spacing w:before="0" w:after="0" w:line="408" w:lineRule="exact"/>
        <w:ind w:left="0" w:right="0" w:firstLine="576"/>
        <w:jc w:val="left"/>
      </w:pPr>
      <w:r>
        <w:rPr/>
        <w:t xml:space="preserve">(4) No retaliation may be taken against a child welfare worker for requesting that a second trained individual accompany them in providing services to, monitoring, or investigating a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up to 150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established by the department.</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fund therapeutic support for children three to five years old in the child welfare system due to the exposure or presence of high-potency synthetic opioids in the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connect pregnant people with high-potency synthetic opioid-related substance use disorders in screened-out referrals to community-based resources and supports. This pilot program shall offer voluntary prevention services aimed at reducing child placements in out-of-home care. The department shall implement this pilot program in at least eight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implement and maintain a program that provides support to child welfare workers from public health nurses. The support provided by public health nurses under this section must include supporting child welfare workers in:</w:t>
      </w:r>
    </w:p>
    <w:p>
      <w:pPr>
        <w:spacing w:before="0" w:after="0" w:line="408" w:lineRule="exact"/>
        <w:ind w:left="0" w:right="0" w:firstLine="576"/>
        <w:jc w:val="left"/>
      </w:pPr>
      <w:r>
        <w:rPr/>
        <w:t xml:space="preserve">(1) Engaging and communicating with families about the risks of high-potency synthetic opioids and child health and safety practices;</w:t>
      </w:r>
    </w:p>
    <w:p>
      <w:pPr>
        <w:spacing w:before="0" w:after="0" w:line="408" w:lineRule="exact"/>
        <w:ind w:left="0" w:right="0" w:firstLine="576"/>
        <w:jc w:val="left"/>
      </w:pPr>
      <w:r>
        <w:rPr/>
        <w:t xml:space="preserve">(2) Developing standardized risk assessment procedures related to high-potency synthetic opioids; and</w:t>
      </w:r>
    </w:p>
    <w:p>
      <w:pPr>
        <w:spacing w:before="0" w:after="0" w:line="408" w:lineRule="exact"/>
        <w:ind w:left="0" w:right="0" w:firstLine="576"/>
        <w:jc w:val="left"/>
      </w:pPr>
      <w:r>
        <w:rPr/>
        <w:t xml:space="preserve">(3) Determining the level of risk presented to a child or children in specific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substance use disorder inpatient program that specializes in treating pregnant and parenting women using a family preservation model.</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 Funding provided under this section may be used for documented start-up costs including the recruitment, hiring, and training of staff.</w:t>
      </w:r>
    </w:p>
    <w:p>
      <w:pPr>
        <w:spacing w:before="0" w:after="0" w:line="408" w:lineRule="exact"/>
        <w:ind w:left="0" w:right="0" w:firstLine="576"/>
        <w:jc w:val="left"/>
      </w:pPr>
      <w:r>
        <w:rPr/>
        <w:t xml:space="preserve">(3) The authority shall consult with the department of children, youth, and families in the implementation of the program authorized under this section.</w:t>
      </w:r>
    </w:p>
    <w:p>
      <w:pPr>
        <w:spacing w:before="0" w:after="0" w:line="408" w:lineRule="exact"/>
        <w:ind w:left="0" w:right="0" w:firstLine="576"/>
        <w:jc w:val="left"/>
      </w:pPr>
      <w:r>
        <w:rPr/>
        <w:t xml:space="preserve">(4) Entities contracted to provide services authorized in this section must allow families to reside together while a parent is receiving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grant program that provides grant funding to a nonprofit organization to provide supports, including behavioral health resources, housing services, and parenting education, to parents with substance use disorders in order to reduce the need for foster care placement or to shorten the time that children remain in out-of-home care when placement is necessary. The grant recipient must be a nonprofit organization that provides a parent-child assistance program and focuses on building parenting skills and confidence to ensure children have safe and healthy childhoods.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four legal liaison positions shall be established within the department to work with both the department and the office of the attorney general for the purpose of assisting with the preparation of child abuse and neglect court cases involving allegations of high-potency synthetic opioids.</w:t>
      </w:r>
    </w:p>
    <w:p>
      <w:pPr>
        <w:spacing w:before="0" w:after="0" w:line="408" w:lineRule="exact"/>
        <w:ind w:left="0" w:right="0" w:firstLine="576"/>
        <w:jc w:val="left"/>
      </w:pPr>
      <w:r>
        <w:rPr/>
        <w:t xml:space="preserve">(2)(a) The workload of the legal liaisons shall be geographically divided to reflect where the highest risk and most vulnerable high-potency synthetic opioid-related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
      <w:pPr>
        <w:jc w:val="center"/>
      </w:pPr>
      <w:r>
        <w:rPr>
          <w:b/>
        </w:rPr>
        <w:t>--- END ---</w:t>
      </w:r>
    </w:p>
    <w:sectPr>
      <w:pgNumType w:start="1"/>
      <w:footerReference xmlns:r="http://schemas.openxmlformats.org/officeDocument/2006/relationships" r:id="R9a06a3e9e62b45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163097f4d495f" /><Relationship Type="http://schemas.openxmlformats.org/officeDocument/2006/relationships/footer" Target="/word/footer1.xml" Id="R9a06a3e9e62b4508" /></Relationships>
</file>