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f73d2256664619" /></Relationships>
</file>

<file path=word/document.xml><?xml version="1.0" encoding="utf-8"?>
<w:document xmlns:w="http://schemas.openxmlformats.org/wordprocessingml/2006/main">
  <w:body>
    <w:p>
      <w:r>
        <w:t>Z-0617.1</w:t>
      </w:r>
    </w:p>
    <w:p>
      <w:pPr>
        <w:jc w:val="center"/>
      </w:pPr>
      <w:r>
        <w:t>_______________________________________________</w:t>
      </w:r>
    </w:p>
    <w:p/>
    <w:p>
      <w:pPr>
        <w:jc w:val="center"/>
      </w:pPr>
      <w:r>
        <w:rPr>
          <w:b/>
        </w:rPr>
        <w:t>SENATE BILL 6111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Conway, Saldaña, Trudeau, Randall, Lovick, Keiser, Dhingra, Frame, Hasegawa, Hunt, Kuderer, Lovelett, Nobles, Stanford, Valdez, and C. Wilson; by request of Attorney General</w:t>
      </w:r>
    </w:p>
    <w:p/>
    <w:p>
      <w:r>
        <w:rPr>
          <w:t xml:space="preserve">Read first time 01/10/24.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prevailing wage sanctions, penalties, and debarment; amending RCW 39.12.010; adding a new section to chapter 39.12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government contracts should not be awarded to those that knowingly and intentionally violate Washington state's prevailing wage laws. The legislature also finds that businesses that follow the law and pay workers appropriately are placed at a competitive disadvantage to those that reduce costs by failing to pay prevailing wages or failing to file or falsely file with the Washington state department of labor and industries or sanctioned under RCW 39.12.055. In order to create a consistent, fair playing field for businesses and avoid taxpayer contracts going to those that repeatedly violate the law and illegally withhold money from workers, the state should amend the state prevailing wage laws to extend those businesses' sanctions to their substantially identical companies. These sanctions include penalties issued under chapter 39.12 RCW; findings of violations that the department of labor and industries count toward a bar on bidding on public works; and debarment, prohibiting bidding on public works.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2019 c 242 s 2 are each amended to read as follows:</w:t>
      </w:r>
    </w:p>
    <w:p>
      <w:pPr>
        <w:spacing w:before="0" w:after="0" w:line="408" w:lineRule="exact"/>
        <w:ind w:left="0" w:right="0" w:firstLine="576"/>
        <w:jc w:val="left"/>
      </w:pPr>
      <w:r>
        <w:rPr/>
        <w:t xml:space="preserve">(1) The "prevailing rate of wage" is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is the prevailing rate. If the wage paid by any contractor or subcontractor to laborers, workers, or mechanics on any public work is based on some period of time other than an hour, the hourly wage is mathematically determined by the number of hours worked in such period of time.</w:t>
      </w:r>
    </w:p>
    <w:p>
      <w:pPr>
        <w:spacing w:before="0" w:after="0" w:line="408" w:lineRule="exact"/>
        <w:ind w:left="0" w:right="0" w:firstLine="576"/>
        <w:jc w:val="left"/>
      </w:pPr>
      <w:r>
        <w:rPr/>
        <w:t xml:space="preserve">(2) The "locality" is the largest city in the county wherein the physical work is being performed.</w:t>
      </w:r>
    </w:p>
    <w:p>
      <w:pPr>
        <w:spacing w:before="0" w:after="0" w:line="408" w:lineRule="exact"/>
        <w:ind w:left="0" w:right="0" w:firstLine="576"/>
        <w:jc w:val="left"/>
      </w:pPr>
      <w:r>
        <w:rPr/>
        <w:t xml:space="preserve">(3) The "usual benefits" includes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An "interested party" includes a contractor, subcontractor, an employee of a contractor or subcontractor, an organization whose members' wages, benefits, and conditions of employment are affected by this chapter, and the director of labor and industries or the director's designee.</w:t>
      </w:r>
    </w:p>
    <w:p>
      <w:pPr>
        <w:spacing w:before="0" w:after="0" w:line="408" w:lineRule="exact"/>
        <w:ind w:left="0" w:right="0" w:firstLine="576"/>
        <w:jc w:val="left"/>
      </w:pPr>
      <w:r>
        <w:rPr/>
        <w:t xml:space="preserve">(5) An "inadvertent filing or reporting error" is a mistake and is made notwithstanding the use of due care by the contractor, subcontractor, or employer. An inadvertent filing or reporting error includes a contractor who, in good faith, relies on a written determination provided by the department of labor and industries and pays its workers, laborers, and mechanics accordingly, but is later found to have not paid the proper prevailing wage rate.</w:t>
      </w:r>
    </w:p>
    <w:p>
      <w:pPr>
        <w:spacing w:before="0" w:after="0" w:line="408" w:lineRule="exact"/>
        <w:ind w:left="0" w:right="0" w:firstLine="576"/>
        <w:jc w:val="left"/>
      </w:pPr>
      <w:r>
        <w:rPr/>
        <w:t xml:space="preserve">(6) "Unpaid prevailing wages" or "unpaid wages" means the employer fails to pay all of the prevailing rate of wages owed for any workweek by the regularly established payday for the period in which the workweek ends. Every employer must pay all wages, other than usual benefits, owing to its employees not less than once a month. Every employer must pay all usual benefits owing to its employees by the regularly established deadline for those benefits.</w:t>
      </w:r>
    </w:p>
    <w:p>
      <w:pPr>
        <w:spacing w:before="0" w:after="0" w:line="408" w:lineRule="exact"/>
        <w:ind w:left="0" w:right="0" w:firstLine="576"/>
        <w:jc w:val="left"/>
      </w:pPr>
      <w:r>
        <w:rPr/>
        <w:t xml:space="preserve">(7) "Rate of contribution" means the effective annual rate of usual benefit contributions for all hours, public and private, worked during the year by an employee (commonly referred to as "annualization" of benefits). The only exemption to the annualization requirements is for defined contribution pension plans that have immediate participation and vesting.</w:t>
      </w:r>
    </w:p>
    <w:p>
      <w:pPr>
        <w:spacing w:before="0" w:after="0" w:line="408" w:lineRule="exact"/>
        <w:ind w:left="0" w:right="0" w:firstLine="576"/>
        <w:jc w:val="left"/>
      </w:pPr>
      <w:r>
        <w:rPr>
          <w:u w:val="single"/>
        </w:rPr>
        <w:t xml:space="preserve">(8) "Contractor" means any prime contractor, subcontractor, or other employer as defined by rules adopted by the department of labor and industries.</w:t>
      </w:r>
    </w:p>
    <w:p>
      <w:pPr>
        <w:spacing w:before="0" w:after="0" w:line="408" w:lineRule="exact"/>
        <w:ind w:left="0" w:right="0" w:firstLine="576"/>
        <w:jc w:val="left"/>
      </w:pPr>
      <w:r>
        <w:rPr>
          <w:u w:val="single"/>
        </w:rPr>
        <w:t xml:space="preserve">(9) "Contractor" includes an entity, however organized, with substantially identical operations, corporate, or management structure to an entity that has been found in violation under RCW 39.12.050, 39.12.055, or 39.12.065, or any associated rules. The nonexclusive factors used to determine substantial identity include an assessment of whether there is: Substantial continuity of the same business operation; use of the same machinery, equipment, or both tangible and intangible real or personal property; similarity of jobs and types of working conditions; continuity of supervisors; and similarity of product or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contractor for the purposes of enforcing this chapter includes a contractor as defined by the department of labor and industries with substantially identical operations, corporate, or management structure to an entity that has been debarred or otherwise sanctioned under RCW 39.12.050, 39.12.055, 39.12.065, or any associated rule, is subject to the same debarment or sanction as that entity. These sanctions include penalties issued under this chapter, findings of violations that the department of labor and industries count toward a bar on bidding on public works; and debarment, prohibiting bidding on public works. The department of labor and industries may enforce this section under the enforcement provisions of this chapter and associated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65d33f5b423c4f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8c223926254dfa" /><Relationship Type="http://schemas.openxmlformats.org/officeDocument/2006/relationships/footer" Target="/word/footer1.xml" Id="R65d33f5b423c4f79" /></Relationships>
</file>