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1e89f049b4a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Braun, and Short</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Wildland Urban Interface Code; amending RCW 19.27.031, 19.27.074, 19.27.560, and 43.30.580;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r>
        <w:rPr>
          <w:u w:val="single"/>
        </w:rPr>
        <w:t xml:space="preserve">(1), or the model International Wildland Urban Interface Code specifically referenced in RCW 19.27.560(2)</w:t>
      </w:r>
      <w:r>
        <w:rPr/>
        <w:t xml:space="preserve">;</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 consist of the following parts</w:t>
      </w:r>
      <w:r>
        <w:t>))</w:t>
      </w:r>
      <w:r>
        <w:rPr/>
        <w:t xml:space="preserve"> </w:t>
      </w:r>
      <w:r>
        <w:rPr>
          <w:u w:val="single"/>
        </w:rPr>
        <w:t xml:space="preserve">wildfire hazard map and a base-level wildfire risk map for each county of the state, per RCW 43.30.580, consist of chapter 1 and the following technical provisions</w:t>
      </w:r>
      <w:r>
        <w:rPr/>
        <w:t xml:space="preserve"> of the </w:t>
      </w:r>
      <w:r>
        <w:t>((</w:t>
      </w:r>
      <w:r>
        <w:rPr>
          <w:strike/>
        </w:rPr>
        <w:t xml:space="preserve">2018</w:t>
      </w:r>
      <w:r>
        <w:t>))</w:t>
      </w:r>
      <w:r>
        <w:rPr/>
        <w:t xml:space="preserv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w:t>
      </w:r>
      <w:r>
        <w:rPr>
          <w:u w:val="single"/>
        </w:rPr>
        <w:t xml:space="preserve">in whole</w:t>
      </w:r>
      <w:r>
        <w:rPr/>
        <w:t xml:space="preserve"> or any portion thereof.</w:t>
      </w:r>
    </w:p>
    <w:p>
      <w:pPr>
        <w:spacing w:before="0" w:after="0" w:line="408" w:lineRule="exact"/>
        <w:ind w:left="0" w:right="0" w:firstLine="576"/>
        <w:jc w:val="left"/>
      </w:pPr>
      <w:r>
        <w:rPr/>
        <w:t xml:space="preserve">(3) In adopting and maintaining the code enumerated in subsection</w:t>
      </w:r>
      <w:r>
        <w:t>((</w:t>
      </w:r>
      <w:r>
        <w:rPr>
          <w:strike/>
        </w:rPr>
        <w:t xml:space="preserve">s</w:t>
      </w:r>
      <w:r>
        <w:t>))</w:t>
      </w:r>
      <w:r>
        <w:rPr/>
        <w:t xml:space="preserve"> (1) </w:t>
      </w:r>
      <w:r>
        <w:t>((</w:t>
      </w:r>
      <w:r>
        <w:rPr>
          <w:strike/>
        </w:rPr>
        <w:t xml:space="preserve">and (2)</w:t>
      </w:r>
      <w:r>
        <w:t>))</w:t>
      </w:r>
      <w:r>
        <w:rPr/>
        <w:t xml:space="preserve"> of this section, any amendment to the code as adopted under subsection</w:t>
      </w:r>
      <w:r>
        <w:t>((</w:t>
      </w:r>
      <w:r>
        <w:rPr>
          <w:strike/>
        </w:rPr>
        <w:t xml:space="preserve">s</w:t>
      </w:r>
      <w:r>
        <w:t>))</w:t>
      </w:r>
      <w:r>
        <w:rPr/>
        <w:t xml:space="preserve"> (1) </w:t>
      </w:r>
      <w:r>
        <w:t>((</w:t>
      </w:r>
      <w:r>
        <w:rPr>
          <w:strike/>
        </w:rPr>
        <w:t xml:space="preserve">and (2)</w:t>
      </w:r>
      <w:r>
        <w:t>))</w:t>
      </w:r>
      <w:r>
        <w:rPr/>
        <w:t xml:space="preserve"> of this section may not result in an International Wildland Urban Interface Code that is more than the minimum performance standards and requirements contained in </w:t>
      </w:r>
      <w:r>
        <w:t>((</w:t>
      </w:r>
      <w:r>
        <w:rPr>
          <w:strike/>
        </w:rPr>
        <w:t xml:space="preserve">the published model code</w:t>
      </w:r>
      <w:r>
        <w:t>))</w:t>
      </w:r>
      <w:r>
        <w:rPr/>
        <w:t xml:space="preserve"> </w:t>
      </w:r>
      <w:r>
        <w:rPr>
          <w:u w:val="single"/>
        </w:rPr>
        <w:t xml:space="preserve">subsection (1) of this section</w:t>
      </w:r>
      <w:r>
        <w:rPr/>
        <w:t xml:space="preserve">.</w:t>
      </w:r>
    </w:p>
    <w:p>
      <w:pPr>
        <w:spacing w:before="0" w:after="0" w:line="408" w:lineRule="exact"/>
        <w:ind w:left="0" w:right="0" w:firstLine="576"/>
        <w:jc w:val="left"/>
      </w:pPr>
      <w:r>
        <w:rPr>
          <w:u w:val="single"/>
        </w:rPr>
        <w:t xml:space="preserve">(4) All counties, cities, and towns may complete their own wildfire hazard and base-level wildfire risk map for use in applying the code enumerated in subsections (1) and (2) of this section. Counties, cities, and towns may continue to use locally adopted wildfire risk maps until completion of a statewide wildfire hazard map and base-level wildfire risk map for each county of the state per RCW 43.30.580. Six months after the statewide wildfire hazard map and base-level wildfire risk map is complete,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hazard and very high hazard on the map required by subsection (1) of this section or adopted according to subsection (4) of this section shall apply the code enumerated in subsections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580</w:t>
      </w:r>
      <w:r>
        <w:rPr/>
        <w:t xml:space="preserve"> and 2018 c 189 s 3 are each amended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RCW 19.27.560.</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0" w:after="0" w:line="408" w:lineRule="exact"/>
        <w:ind w:left="0" w:right="0" w:firstLine="576"/>
        <w:jc w:val="left"/>
      </w:pPr>
      <w:r>
        <w:rPr>
          <w:u w:val="single"/>
        </w:rPr>
        <w:t xml:space="preserve">(3) The department shall establish and maintain a statewide wildfire hazard map and a base-level wildfire risk map for each county of the state based upon criteria established in coordination with the state fire marshal office. The hazard map shall be made available on the department's website and shall designate areas as low, moderate, high, and very high wildfire hazard. The risk map shall be made available on the department's website and designate vulnerable resources or assets based on their exposure and susceptibility to a wildfire hazard. The department shall establish a method by which local governments may update the wildfire risk map based on local assessments and approved by the jurisdiction's fire marshal. The department shall make publicly available the criteria and analysis utilized in assessing the wildfire hazard and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3f6c8a3441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b9875498041a7" /><Relationship Type="http://schemas.openxmlformats.org/officeDocument/2006/relationships/footer" Target="/word/footer1.xml" Id="R823f6c8a34414190" /></Relationships>
</file>