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4a4c805734bd6" /></Relationships>
</file>

<file path=word/document.xml><?xml version="1.0" encoding="utf-8"?>
<w:document xmlns:w="http://schemas.openxmlformats.org/wordprocessingml/2006/main">
  <w:body>
    <w:p>
      <w:r>
        <w:t>S-3904.2</w:t>
      </w:r>
    </w:p>
    <w:p>
      <w:pPr>
        <w:jc w:val="center"/>
      </w:pPr>
      <w:r>
        <w:t>_______________________________________________</w:t>
      </w:r>
    </w:p>
    <w:p/>
    <w:p>
      <w:pPr>
        <w:jc w:val="center"/>
      </w:pPr>
      <w:r>
        <w:rPr>
          <w:b/>
        </w:rPr>
        <w:t>SENATE BILL 6164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Wagoner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emergency management plans; and amending RCW 38.52.070.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2017 c 312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(3)(a)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 </w:t>
      </w:r>
      <w:r>
        <w:rPr>
          <w:u w:val="single"/>
        </w:rPr>
        <w:t xml:space="preserve">Communication plans must include an expeditious notification of citizens who can reasonably be determined to be at risk during a hazardous material spill or release. Notification shall be via the most appropriate technology available to determine citizen risk levels.</w:t>
      </w:r>
    </w:p>
    <w:p>
      <w:pPr>
        <w:spacing w:before="0" w:after="0" w:line="408" w:lineRule="exact"/>
        <w:ind w:left="0" w:right="0" w:firstLine="576"/>
        <w:jc w:val="left"/>
      </w:pPr>
      <w:r>
        <w:rPr/>
        <w:t xml:space="preserve">(i)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rPr/>
        <w:t xml:space="preserve">(ii)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July 23, 2017, and subsequent plans must be reviewed in accordance with the director's schedule.</w:t>
      </w:r>
    </w:p>
    <w:p>
      <w:pPr>
        <w:spacing w:before="0" w:after="0" w:line="408" w:lineRule="exact"/>
        <w:ind w:left="0" w:right="0" w:firstLine="576"/>
        <w:jc w:val="left"/>
      </w:pPr>
      <w:r>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
      <w:pPr>
        <w:jc w:val="center"/>
      </w:pPr>
      <w:r>
        <w:rPr>
          <w:b/>
        </w:rPr>
        <w:t>--- END ---</w:t>
      </w:r>
    </w:p>
    <w:sectPr>
      <w:pgNumType w:start="1"/>
      <w:footerReference xmlns:r="http://schemas.openxmlformats.org/officeDocument/2006/relationships" r:id="R28afba48c08342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f8036882ed4b95" /><Relationship Type="http://schemas.openxmlformats.org/officeDocument/2006/relationships/footer" Target="/word/footer1.xml" Id="R28afba48c08342d5" /></Relationships>
</file>