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f3c793a02b43c7" /></Relationships>
</file>

<file path=word/document.xml><?xml version="1.0" encoding="utf-8"?>
<w:document xmlns:w="http://schemas.openxmlformats.org/wordprocessingml/2006/main">
  <w:body>
    <w:p>
      <w:r>
        <w:t>S-4394.1</w:t>
      </w:r>
    </w:p>
    <w:p>
      <w:pPr>
        <w:jc w:val="center"/>
      </w:pPr>
      <w:r>
        <w:t>_______________________________________________</w:t>
      </w:r>
    </w:p>
    <w:p/>
    <w:p>
      <w:pPr>
        <w:jc w:val="center"/>
      </w:pPr>
      <w:r>
        <w:rPr>
          <w:b/>
        </w:rPr>
        <w:t>SUBSTITUTE SENATE BILL 6194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Stanford, Saldaña, Cleveland, Conway, Dhingra, Hasegawa, Hunt, Kuderer, Liias, Lovelett, Nobles, Randall, Trudeau, Valdez, Van De Wege,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44.90.090, 42.52.020, and 42.52.160; adding new sections to chapter 44.90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public employment relations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to assist in a confidential capacity, or serve as counsel to, persons who formulate, determine, and effectuate employer policies with regard to labor relations and personnel matters or who has authorized access to information relating to the effectuation or review of the employer's collective bargaining policies, strategies, or process to the extent that such access creates a conflict of interest, or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and have authority over legislative employees on an ongoing basis as part of the employee's regular and usual job duties. Supervision includes the authority to direct employees, approve and deny leave, and effectively recommend decisions to hire, transfer, suspend, lay off, recall, promote, discharge, direct, reward, or discipline employees, or to adjust employee grievances, when the exercise of the authority is not of a merely routine nature but requires the exercise of individual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Caucus chiefs of staff and caucus deputy chiefs of staff;</w:t>
      </w:r>
    </w:p>
    <w:p>
      <w:pPr>
        <w:spacing w:before="0" w:after="0" w:line="408" w:lineRule="exact"/>
        <w:ind w:left="0" w:right="0" w:firstLine="576"/>
        <w:jc w:val="left"/>
      </w:pPr>
      <w:r>
        <w:rPr/>
        <w:t xml:space="preserve">(d) The speaker's attorney, house counsel, and leadership counsel to the minority caucus of the house of representatives; and</w:t>
      </w:r>
    </w:p>
    <w:p>
      <w:pPr>
        <w:spacing w:before="0" w:after="0" w:line="408" w:lineRule="exact"/>
        <w:ind w:left="0" w:right="0" w:firstLine="576"/>
        <w:jc w:val="left"/>
      </w:pPr>
      <w:r>
        <w:rPr/>
        <w:t xml:space="preserve">(e) The counsel for the senate that provide direct legal advice to the administration of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Require the legislature to reinstate an employee;</w:t>
      </w:r>
    </w:p>
    <w:p>
      <w:pPr>
        <w:spacing w:before="0" w:after="0" w:line="408" w:lineRule="exact"/>
        <w:ind w:left="0" w:right="0" w:firstLine="576"/>
        <w:jc w:val="left"/>
      </w:pPr>
      <w:r>
        <w:rPr/>
        <w:t xml:space="preserve">(b)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(c)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(d) Modify any matter relating to legislative calendars, schedules, and deadlines of the legislature; or</w:t>
      </w:r>
    </w:p>
    <w:p>
      <w:pPr>
        <w:spacing w:before="0" w:after="0" w:line="408" w:lineRule="exact"/>
        <w:ind w:left="0" w:right="0" w:firstLine="576"/>
        <w:jc w:val="left"/>
      </w:pPr>
      <w:r>
        <w:rPr/>
        <w:t xml:space="preserve">(e)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nor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are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individual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and the cutoff calendar for a legislative session;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employer's right to hire, terminate, and promote employees. Legislative employees hold their positions at the employer's pleasure;</w:t>
      </w:r>
    </w:p>
    <w:p>
      <w:pPr>
        <w:spacing w:before="0" w:after="0" w:line="408" w:lineRule="exact"/>
        <w:ind w:left="0" w:right="0" w:firstLine="576"/>
        <w:jc w:val="left"/>
      </w:pPr>
      <w:r>
        <w:rPr>
          <w:u w:val="single"/>
        </w:rPr>
        <w:t xml:space="preserve">(g)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(h) The right to take whatever actions are deemed necessary to carry out the mission of the legislature and its agencies during emergencies;</w:t>
      </w:r>
    </w:p>
    <w:p>
      <w:pPr>
        <w:spacing w:before="0" w:after="0" w:line="408" w:lineRule="exact"/>
        <w:ind w:left="0" w:right="0" w:firstLine="576"/>
        <w:jc w:val="left"/>
      </w:pPr>
      <w:r>
        <w:rPr>
          <w:u w:val="single"/>
        </w:rPr>
        <w:t xml:space="preserve">(i) Employees' status as exempt from chapters 41.06 and 49.46 RCW and the federal fair labor standards act (Title 29 U.S.C. Sec. 203);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Use of paid time and public resources for negotiating and administering collective bargaining agreements under this chapter;</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employee collective bargaining under this chapter, whether or not the legislative employee is part of an employee organization;</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2137ab0211cb42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8da99a8bc34d4c" /><Relationship Type="http://schemas.openxmlformats.org/officeDocument/2006/relationships/footer" Target="/word/footer1.xml" Id="R2137ab0211cb42db" /></Relationships>
</file>