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e3b7856fc4680" /></Relationships>
</file>

<file path=word/document.xml><?xml version="1.0" encoding="utf-8"?>
<w:document xmlns:w="http://schemas.openxmlformats.org/wordprocessingml/2006/main">
  <w:body>
    <w:p>
      <w:r>
        <w:t>S-4347.1</w:t>
      </w:r>
    </w:p>
    <w:p>
      <w:pPr>
        <w:jc w:val="center"/>
      </w:pPr>
      <w:r>
        <w:t>_______________________________________________</w:t>
      </w:r>
    </w:p>
    <w:p/>
    <w:p>
      <w:pPr>
        <w:jc w:val="center"/>
      </w:pPr>
      <w:r>
        <w:rPr>
          <w:b/>
        </w:rPr>
        <w:t>SUBSTITUTE SENATE BILL 6227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Dhingra, Cleveland, Hasegawa, Keiser, Nobles, Randall, Torres,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entry of a civil protection order to protect victims when a person is found not guilty by reason of insanity; amending RCW 10.77.110 and 7.105.450; and adding a new section to chapter 10.77 RCW.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110</w:t>
      </w:r>
      <w:r>
        <w:rPr/>
        <w:t xml:space="preserve"> and 2000 c 94 s 14 are each amended to read as follows:</w:t>
      </w:r>
    </w:p>
    <w:p>
      <w:pPr>
        <w:spacing w:before="0" w:after="0" w:line="408" w:lineRule="exact"/>
        <w:ind w:left="0" w:right="0" w:firstLine="576"/>
        <w:jc w:val="left"/>
      </w:pPr>
      <w:r>
        <w:rPr/>
        <w:t xml:space="preserve">(1) If a defendant is acquitted of a crime by reason of insanity, and it is found that he or she is not a substantial danger to other persons, and does not present a substantial likelihood of committing criminal acts jeopardizing public safety or security, unless kept under further control by the court or other persons or institutions, the court shall direct the defendant's release. If it is found that such defendant is a substantial danger to other persons, or presents a substantial likelihood of committing criminal acts jeopardizing public safety or security, unless kept under further control by the court or other persons or institutions, the court shall order his or her hospitalization, or any appropriate alternative treatment less restrictive than detention in a state mental hospital, pursuant to the terms of this chapter.</w:t>
      </w:r>
    </w:p>
    <w:p>
      <w:pPr>
        <w:spacing w:before="0" w:after="0" w:line="408" w:lineRule="exact"/>
        <w:ind w:left="0" w:right="0" w:firstLine="576"/>
        <w:jc w:val="left"/>
      </w:pPr>
      <w:r>
        <w:t>((</w:t>
      </w:r>
      <w:r>
        <w:rPr>
          <w:strike/>
        </w:rPr>
        <w:t xml:space="preserve">(2) 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is developmentally disabled. When appropriate, and subject to available funds, the defendant may be committed to a program specifically reserved for the treatment and training of developmentally disabled persons.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developmentally disabled persons.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Pr>
        <w:spacing w:before="0" w:after="0" w:line="408" w:lineRule="exact"/>
        <w:ind w:left="0" w:right="0" w:firstLine="576"/>
        <w:jc w:val="left"/>
      </w:pPr>
      <w:r>
        <w:rPr>
          <w:strike/>
        </w:rPr>
        <w:t xml:space="preserve">(3)</w:t>
      </w:r>
      <w:r>
        <w:t>))</w:t>
      </w:r>
      <w:r>
        <w:rPr/>
        <w:t xml:space="preserve"> If it is found that such defendant is not a substantial danger to other persons, and does not present a substantial likelihood of committing criminal acts jeopardizing public safety or security, but that he or she is in need of control by the court or other persons or institutions, the court shall direct the defendant's conditional release.</w:t>
      </w:r>
    </w:p>
    <w:p>
      <w:pPr>
        <w:spacing w:before="0" w:after="0" w:line="408" w:lineRule="exact"/>
        <w:ind w:left="0" w:right="0" w:firstLine="576"/>
        <w:jc w:val="left"/>
      </w:pPr>
      <w:r>
        <w:rPr>
          <w:u w:val="single"/>
        </w:rPr>
        <w:t xml:space="preserve">(2)(a) Upon placement of the defendant under control by the court or other persons and institutions or placement of the defendant on conditional release, or upon application by the prosecuting attorney at any subsequent time during which the court retains supervision of the defendant, the court may enter a separate no-contact order to protect any victim of the defendant's conduct in addition to the defendant's order of commitment. The maximum term of the no-contact order shall be the defendant's maximum term of commitment, or until the defendant's release under RCW 10.77.200, whichever comes sooner. The clerk's office shall provide a written certified copy of the no-contact order to the victim.</w:t>
      </w:r>
    </w:p>
    <w:p>
      <w:pPr>
        <w:spacing w:before="0" w:after="0" w:line="408" w:lineRule="exact"/>
        <w:ind w:left="0" w:right="0" w:firstLine="576"/>
        <w:jc w:val="left"/>
      </w:pPr>
      <w:r>
        <w:rPr>
          <w:u w:val="single"/>
        </w:rPr>
        <w:t xml:space="preserve">(b) The no-contact order shall contain the court's directives and shall state that a violation of the order is a criminal offense under chapter 7.105 RCW and will subject the person who violates the order to arrest, and that any assault, drive-by shooting, or reckless endangerment that is a violation of the order is a felony.</w:t>
      </w:r>
    </w:p>
    <w:p>
      <w:pPr>
        <w:spacing w:before="0" w:after="0" w:line="408" w:lineRule="exact"/>
        <w:ind w:left="0" w:right="0" w:firstLine="576"/>
        <w:jc w:val="left"/>
      </w:pPr>
      <w:r>
        <w:rPr>
          <w:u w:val="single"/>
        </w:rPr>
        <w:t xml:space="preserve">(c) Any willful violation of a no-contact order issued under this section is punishable under RCW 7.105.450.</w:t>
      </w:r>
    </w:p>
    <w:p>
      <w:pPr>
        <w:spacing w:before="0" w:after="0" w:line="408" w:lineRule="exact"/>
        <w:ind w:left="0" w:right="0" w:firstLine="576"/>
        <w:jc w:val="left"/>
      </w:pPr>
      <w:r>
        <w:rPr>
          <w:u w:val="single"/>
        </w:rPr>
        <w:t xml:space="preserve">(d) For the purpose of this subsection, "victim" has the same meaning as in RCW 9.94A.030.</w:t>
      </w:r>
    </w:p>
    <w:p>
      <w:pPr>
        <w:spacing w:before="0" w:after="0" w:line="408" w:lineRule="exact"/>
        <w:ind w:left="0" w:right="0" w:firstLine="576"/>
        <w:jc w:val="left"/>
      </w:pPr>
      <w:r>
        <w:rPr>
          <w:u w:val="single"/>
        </w:rPr>
        <w:t xml:space="preserve">(3) Whenever an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450</w:t>
      </w:r>
      <w:r>
        <w:rPr/>
        <w:t xml:space="preserve"> and 2022 c 268 s 21 are each amended to read as follows:</w:t>
      </w:r>
    </w:p>
    <w:p>
      <w:pPr>
        <w:spacing w:before="0" w:after="0" w:line="408" w:lineRule="exact"/>
        <w:ind w:left="0" w:right="0" w:firstLine="576"/>
        <w:jc w:val="left"/>
      </w:pPr>
      <w:r>
        <w:rPr/>
        <w:t xml:space="preserve">(1)(a) Whenever a domestic violence protection order, a sexual assault protection order, a stalking protection order, or a vulnerable adult protection order is granted under this chapter, or an order is granted under chapter 9A.40, 9A.44, 9A.46, 9A.88, 9.94A, </w:t>
      </w:r>
      <w:r>
        <w:rPr>
          <w:u w:val="single"/>
        </w:rPr>
        <w:t xml:space="preserve">10.77,</w:t>
      </w:r>
      <w:r>
        <w:rPr/>
        <w:t xml:space="preserve"> 10.99, 26.09, 26.26A, or 26.26B RCW, or there is a valid foreign protection order as defined in RCW 26.52.020, or there is a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the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the person from knowingly coming within, or knowingly remaining within, a specified distance of a location, a protected party's person, or a protected party's vehicle;</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the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must provide the electronic monitoring services and the terms under which the monitoring must be performed. The order also may include a requirement that the respondent pay the costs of the monitoring. The court shall consider the ability of the convicted person to pay for electronic monitoring; and</w:t>
      </w:r>
    </w:p>
    <w:p>
      <w:pPr>
        <w:spacing w:before="0" w:after="0" w:line="408" w:lineRule="exact"/>
        <w:ind w:left="0" w:right="0" w:firstLine="576"/>
        <w:jc w:val="left"/>
      </w:pPr>
      <w:r>
        <w:rPr/>
        <w:t xml:space="preserve">(ii) Shall impose a fine of $15, in addition to any penalty or fine imposed, for a violation of a domestic violence protection order issued under this chapter. Revenue from the $15 fine must be remitted monthly to the state treasury for deposit in the domestic violence prevention account.</w:t>
      </w:r>
    </w:p>
    <w:p>
      <w:pPr>
        <w:spacing w:before="0" w:after="0" w:line="408" w:lineRule="exact"/>
        <w:ind w:left="0" w:right="0" w:firstLine="576"/>
        <w:jc w:val="left"/>
      </w:pPr>
      <w:r>
        <w:rPr/>
        <w:t xml:space="preserve">(2) A law enforcement officer shall arrest without a warrant and take into custody a person whom the law enforcement officer has probable cause to believe has violated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a protected party's person, or a protected party's vehicle,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domestic violence protection order, a sexual assault protection order, a stalking protection order, or a vulnerable adult protection order, or a court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is a class C felony if the offender has at least two previous convictions for violating the provisions of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(6)(a) A defendant arrested for violating a domestic violence protection order, sexual assault protection order, stalking protection order, or vulnerable adult protection order, or an order granted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is required to appear in person before a magistrate within one judicial day after the arrest. At the time of the appearance, the court shall determine the necessity of imposing a no-contact order or other conditions of pretrial release.</w:t>
      </w:r>
    </w:p>
    <w:p>
      <w:pPr>
        <w:spacing w:before="0" w:after="0" w:line="408" w:lineRule="exact"/>
        <w:ind w:left="0" w:right="0" w:firstLine="576"/>
        <w:jc w:val="left"/>
      </w:pPr>
      <w:r>
        <w:rPr/>
        <w:t xml:space="preserve">(b) A defendant who is charged by citation, complaint, or information with violating any protection order identified in (a) of this subsection and not arrested shall appear in court for arraignment in person as soon as practicable, but in no event later than 14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(7) Upon the filing of an affidavit by the petitioner or any law enforcement officer alleging that the respondent has violated a domestic violence protection order, a sexual assault protection order, a stalking protection order, or a vulnerable adult protection order, or an order granted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the court may issue an order to the respondent, requiring the respondent to appear and show cause within 14 days as to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0" w:after="0" w:line="408" w:lineRule="exact"/>
        <w:ind w:left="0" w:right="0" w:firstLine="576"/>
        <w:jc w:val="left"/>
      </w:pPr>
      <w:r>
        <w:rPr/>
        <w:t xml:space="preserve">(8) Appearances required under this section are mandatory and cannot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has a developmental disability. When appropriate, and subject to available funds, the defendant may be committed to a program specifically reserved for the treatment and training of persons with developmental disabilities.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
      <w:pPr>
        <w:jc w:val="center"/>
      </w:pPr>
      <w:r>
        <w:rPr>
          <w:b/>
        </w:rPr>
        <w:t>--- END ---</w:t>
      </w:r>
    </w:p>
    <w:sectPr>
      <w:pgNumType w:start="1"/>
      <w:footerReference xmlns:r="http://schemas.openxmlformats.org/officeDocument/2006/relationships" r:id="Rd7125ef2570c46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a4b158585a40ef" /><Relationship Type="http://schemas.openxmlformats.org/officeDocument/2006/relationships/footer" Target="/word/footer1.xml" Id="Rd7125ef2570c4636" /></Relationships>
</file>