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5d352a30540f2" /></Relationships>
</file>

<file path=word/document.xml><?xml version="1.0" encoding="utf-8"?>
<w:document xmlns:w="http://schemas.openxmlformats.org/wordprocessingml/2006/main">
  <w:body>
    <w:p>
      <w:r>
        <w:t>S-4678.3</w:t>
      </w:r>
    </w:p>
    <w:p>
      <w:pPr>
        <w:jc w:val="center"/>
      </w:pPr>
      <w:r>
        <w:t>_______________________________________________</w:t>
      </w:r>
    </w:p>
    <w:p/>
    <w:p>
      <w:pPr>
        <w:jc w:val="center"/>
      </w:pPr>
      <w:r>
        <w:rPr>
          <w:b/>
        </w:rPr>
        <w:t>SECOND SUBSTITUTE SENATE BILL 6228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Hasegawa, Kuderer, Lovelett, Nobles, Randall, Shewmake,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of substance use disorders; amending RCW 41.05.526, 48.43.761, 71.24.618, 18.225.145, and 43.70.250; reenacting and amending RCW 18.205.095; adding new sections to chapter 71.24 RCW; adding a new section to chapter 41.05 RCW;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Beginning January 1, 2025, for inpatient or residential substance use disorder treatment services, after the times specified in (a) of this subsection have passed, if a managed care organization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managed care organization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or hospitalization,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 </w:t>
      </w:r>
      <w:r>
        <w:rPr>
          <w:u w:val="single"/>
        </w:rPr>
        <w:t xml:space="preserve">A certified substance use disorder professional trainee may not provide independent substance use disorder counseling or clinical services for a fee.</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p>
    <w:p>
      <w:pPr>
        <w:spacing w:before="0" w:after="0" w:line="408" w:lineRule="exact"/>
        <w:ind w:left="0" w:right="0" w:firstLine="576"/>
        <w:jc w:val="left"/>
      </w:pPr>
      <w:r>
        <w:rPr>
          <w:strike/>
        </w:rPr>
        <w:t xml:space="preserve">(6)</w:t>
      </w:r>
      <w:r>
        <w:t>))</w:t>
      </w:r>
      <w:r>
        <w:rPr/>
        <w:t xml:space="preserve"> Applicants are subject to denial of a certificate or issuance of a conditional certificate for the reasons set forth in chapter 18.130 RCW.</w:t>
      </w:r>
    </w:p>
    <w:p>
      <w:pPr>
        <w:spacing w:before="0" w:after="0" w:line="408" w:lineRule="exact"/>
        <w:ind w:left="0" w:right="0" w:firstLine="576"/>
        <w:jc w:val="left"/>
      </w:pPr>
      <w:r>
        <w:t>((</w:t>
      </w:r>
      <w:r>
        <w:rPr>
          <w:strike/>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w:t>
      </w:r>
      <w:r>
        <w:t>((</w:t>
      </w:r>
      <w:r>
        <w:rPr>
          <w:strike/>
        </w:rPr>
        <w:t xml:space="preserve">(a) 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t xml:space="preserve"> </w:t>
      </w:r>
      <w:r>
        <w:rPr>
          <w:u w:val="single"/>
        </w:rPr>
        <w:t xml:space="preserve">if</w:t>
      </w:r>
      <w:r>
        <w:rPr/>
        <w:t xml:space="preserve">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t>((</w:t>
      </w:r>
      <w:r>
        <w:rPr>
          <w:strike/>
        </w:rPr>
        <w:t xml:space="preserve">(b) If the secretary finds that a waiver to allow additional renewals is justified due to barriers to testing or training resulting from a governor-declared emergency, additional renewals may be approved.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health care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office of the insurance commissioner and in consultation with medicaid managed care organizations, health carriers, and substance use disorder inpatient and residential treatment providers, shall undertake development of standardized clinical documentation requirements for initial authorization and concurrent utilization review for residential treatment of substance use disorders. Medicaid managed care organizations and health carriers shall begin to use the standardized requirements by July 1, 2025.</w:t>
      </w:r>
    </w:p>
    <w:p>
      <w:pPr>
        <w:spacing w:before="0" w:after="0" w:line="408" w:lineRule="exact"/>
        <w:ind w:left="0" w:right="0" w:firstLine="576"/>
        <w:jc w:val="left"/>
      </w:pPr>
      <w:r>
        <w:rPr/>
        <w:t xml:space="preserve">(2) Any standardized documentation and associated process requirements must align with the centers for medicare and medicaid services interoperability and prior authorization final rule issued on January 17,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w:t>
      </w:r>
    </w:p>
    <w:p/>
    <w:p>
      <w:pPr>
        <w:jc w:val="center"/>
      </w:pPr>
      <w:r>
        <w:rPr>
          <w:b/>
        </w:rPr>
        <w:t>--- END ---</w:t>
      </w:r>
    </w:p>
    <w:sectPr>
      <w:pgNumType w:start="1"/>
      <w:footerReference xmlns:r="http://schemas.openxmlformats.org/officeDocument/2006/relationships" r:id="Rc2e4887df574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d2b43d7ce4ebf" /><Relationship Type="http://schemas.openxmlformats.org/officeDocument/2006/relationships/footer" Target="/word/footer1.xml" Id="Rc2e4887df574444d" /></Relationships>
</file>