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a4457b6674af4" /></Relationships>
</file>

<file path=word/document.xml><?xml version="1.0" encoding="utf-8"?>
<w:document xmlns:w="http://schemas.openxmlformats.org/wordprocessingml/2006/main">
  <w:body>
    <w:p>
      <w:r>
        <w:t>S-3854.2</w:t>
      </w:r>
    </w:p>
    <w:p>
      <w:pPr>
        <w:jc w:val="center"/>
      </w:pPr>
      <w:r>
        <w:t>_______________________________________________</w:t>
      </w:r>
    </w:p>
    <w:p/>
    <w:p>
      <w:pPr>
        <w:jc w:val="center"/>
      </w:pPr>
      <w:r>
        <w:rPr>
          <w:b/>
        </w:rPr>
        <w:t>SENATE BILL 6228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Hasegawa, Kuderer, Lovelett, Nobles, Randall, Shewmake, Valdez, and C. Wilson</w:t>
      </w:r>
    </w:p>
    <w:p/>
    <w:p>
      <w:r>
        <w:rPr>
          <w:t xml:space="preserve">Read first time 01/15/24.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treatment of substance use disorders; amending RCW 71.24.618, 18.225.145, and 43.70.250; reenacting and amending RCW 41.05.017 and 18.205.095; adding new sections to chapter 71.24 RCW;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single standard set of criteria to define medical necessity for substance use disorder treatment and define substance use disorder levels of care in Washington is the most recent version of the ASAM Criteria as published by the American society of addiction medicine.</w:t>
      </w:r>
    </w:p>
    <w:p>
      <w:pPr>
        <w:spacing w:before="0" w:after="0" w:line="408" w:lineRule="exact"/>
        <w:ind w:left="0" w:right="0" w:firstLine="576"/>
        <w:jc w:val="left"/>
      </w:pPr>
      <w:r>
        <w:rPr/>
        <w:t xml:space="preserve">(2) No health carrier or licensed or certified behavioral health agency may deny substance use disorder treatment to a person who meets the ASAM Criteria for the requested course of substance use disorder treatment on the grounds that the person has not recently used a substance that is connected to the person's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w:t>
      </w:r>
      <w:r>
        <w:t>((</w:t>
      </w:r>
      <w:r>
        <w:rPr>
          <w:strike/>
        </w:rPr>
        <w:t xml:space="preserve">Beginning January 1, 2021, a</w:t>
      </w:r>
      <w:r>
        <w:t>))</w:t>
      </w:r>
      <w:r>
        <w:rPr/>
        <w:t xml:space="preserve"> </w:t>
      </w:r>
      <w:r>
        <w:rPr>
          <w:u w:val="single"/>
        </w:rPr>
        <w:t xml:space="preserve">A</w:t>
      </w:r>
      <w:r>
        <w:rPr/>
        <w:t xml:space="preserve">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w:t>
      </w:r>
      <w:r>
        <w:t>((</w:t>
      </w:r>
      <w:r>
        <w:rPr>
          <w:strike/>
        </w:rPr>
        <w:t xml:space="preserve">Beginning January 1, 2021, a</w:t>
      </w:r>
      <w:r>
        <w:t>))</w:t>
      </w:r>
      <w:r>
        <w:rPr/>
        <w:t xml:space="preserve"> </w:t>
      </w:r>
      <w:r>
        <w:rPr>
          <w:u w:val="single"/>
        </w:rPr>
        <w:t xml:space="preserve">A</w:t>
      </w:r>
      <w:r>
        <w:rPr/>
        <w:t xml:space="preserve">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managed care organization may not require an enrollee to obtain prior authorization for the services specified in (a) of this subsection as a condition for payment of services prior to the times specified in (a) of this subsection.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When the managed care organization authorizes inpatient substance use disorder treatment, the minimum initial authorization period is for 29 days from the start of treatment.</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w:t>
      </w:r>
      <w:r>
        <w:t>((</w:t>
      </w:r>
      <w:r>
        <w:rPr>
          <w:strike/>
        </w:rPr>
        <w:t xml:space="preserve">standard set of criteria established under RCW 41.05.528</w:t>
      </w:r>
      <w:r>
        <w:t>))</w:t>
      </w:r>
      <w:r>
        <w:rPr/>
        <w:t xml:space="preserve"> </w:t>
      </w:r>
      <w:r>
        <w:rPr>
          <w:u w:val="single"/>
        </w:rPr>
        <w:t xml:space="preserve">ASAM Criteria as published by the American society of addiction medicine</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managed care organization the patient's need for continuing care and justification for level of care placement following the current treatment period, based on the </w:t>
      </w:r>
      <w:r>
        <w:t>((</w:t>
      </w:r>
      <w:r>
        <w:rPr>
          <w:strike/>
        </w:rPr>
        <w:t xml:space="preserve">standard set of criteria established under RCW 41.05.528</w:t>
      </w:r>
      <w:r>
        <w:t>))</w:t>
      </w:r>
      <w:r>
        <w:rPr/>
        <w:t xml:space="preserve"> </w:t>
      </w:r>
      <w:r>
        <w:rPr>
          <w:u w:val="single"/>
        </w:rPr>
        <w:t xml:space="preserve">ASAM Criteria as published by the American society of addiction medicine</w:t>
      </w:r>
      <w:r>
        <w:rPr/>
        <w:t xml:space="preserve">, with documentation recorded in the patient's medical record. </w:t>
      </w:r>
      <w:r>
        <w:rPr>
          <w:u w:val="single"/>
        </w:rPr>
        <w:t xml:space="preserve">The behavioral health agency may not be required to document the need for continuing care for inpatient substance use disorder treatment until the end of the initial authorization period.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health carrier shall provide:</w:t>
      </w:r>
    </w:p>
    <w:p>
      <w:pPr>
        <w:spacing w:before="0" w:after="0" w:line="408" w:lineRule="exact"/>
        <w:ind w:left="0" w:right="0" w:firstLine="576"/>
        <w:jc w:val="left"/>
      </w:pPr>
      <w:r>
        <w:rPr/>
        <w:t xml:space="preserve">(a)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 condition existed; and</w:t>
      </w:r>
    </w:p>
    <w:p>
      <w:pPr>
        <w:spacing w:before="0" w:after="0" w:line="408" w:lineRule="exact"/>
        <w:ind w:left="0" w:right="0" w:firstLine="576"/>
        <w:jc w:val="left"/>
      </w:pPr>
      <w:r>
        <w:rPr/>
        <w:t xml:space="preserve">(b) Coverage for transportation from the behavioral health emergency services provider upon discharge to the enrollee's next level of care when a prudent layperson acting reasonably would believe that such transportation is necessary to protect the enrollee from a relapse or other discontinuity in care that would jeopardize the health and safety of the enrollee, which must be accomplished by means which a prudent layperson acting reasonably would deem appropriate to the present circumstances of the enrollee including, but not limited to, ground ambulance transportation, escorted transportation in a private vehicle, or use of a taxi service.</w:t>
      </w:r>
    </w:p>
    <w:p>
      <w:pPr>
        <w:spacing w:before="0" w:after="0" w:line="408" w:lineRule="exact"/>
        <w:ind w:left="0" w:right="0" w:firstLine="576"/>
        <w:jc w:val="left"/>
      </w:pPr>
      <w:r>
        <w:rPr/>
        <w:t xml:space="preserve">(2) Coverage of ground ambulance transports to behavioral health emergency services providers and transportation from the behavioral health emergency services provider upon discharge may be subject to applicable in-network copayments, coinsurance, and deductibles, as provided in chapter 48.49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3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2025, a managed care organization must:</w:t>
      </w:r>
    </w:p>
    <w:p>
      <w:pPr>
        <w:spacing w:before="0" w:after="0" w:line="408" w:lineRule="exact"/>
        <w:ind w:left="0" w:right="0" w:firstLine="576"/>
        <w:jc w:val="left"/>
      </w:pPr>
      <w:r>
        <w:rPr/>
        <w:t xml:space="preserve">(a) Provide coverage for ground ambulance transports to behavioral health emergency services providers for enrollees who are experiencing an emergency medical condition as defined in RCW 48.43.005. A managed care plan may not require prior authorization of ground ambulance services if a prudent layperson acting reasonably would have believed that an emergency medical condition existed; and</w:t>
      </w:r>
    </w:p>
    <w:p>
      <w:pPr>
        <w:spacing w:before="0" w:after="0" w:line="408" w:lineRule="exact"/>
        <w:ind w:left="0" w:right="0" w:firstLine="576"/>
        <w:jc w:val="left"/>
      </w:pPr>
      <w:r>
        <w:rPr/>
        <w:t xml:space="preserve">(b) Provide coverage for transportation from the behavioral health emergency services provider upon discharge to the enrollee's next level of care when a prudent layperson acting reasonably would believe that such transportation is necessary to protect the enrollee from a relapse or other discontinuity in care that would jeopardize the health and safety of the enrollee, which must be accomplished by means which a prudent layperson acting reasonably would deem appropriate to the present circumstances of the enrollee including, but not limited to, ground ambulance transportation, escorted transportation in a private vehicle, or use of a taxi service.</w:t>
      </w:r>
    </w:p>
    <w:p>
      <w:pPr>
        <w:spacing w:before="0" w:after="0" w:line="408" w:lineRule="exact"/>
        <w:ind w:left="0" w:right="0" w:firstLine="576"/>
        <w:jc w:val="left"/>
      </w:pPr>
      <w:r>
        <w:rPr/>
        <w:t xml:space="preserve">(2) Coverage of ground ambulance transports to behavioral health emergency services providers and transportation from the behavioral health emergency services provider upon discharge may be subject to applicable in-network copayments, coinsurance, and deductibles, as provided in chapter 48.49 RCW.</w:t>
      </w:r>
    </w:p>
    <w:p>
      <w:pPr>
        <w:spacing w:before="0" w:after="0" w:line="408" w:lineRule="exact"/>
        <w:ind w:left="0" w:right="0" w:firstLine="576"/>
        <w:jc w:val="left"/>
      </w:pPr>
      <w:r>
        <w:rPr/>
        <w:t xml:space="preserve">(3) Nothing in this section prevents a managed care plan from denying coverage based on insurance fraud.</w:t>
      </w:r>
    </w:p>
    <w:p>
      <w:pPr>
        <w:spacing w:before="0" w:after="0" w:line="408" w:lineRule="exact"/>
        <w:ind w:left="0" w:right="0" w:firstLine="576"/>
        <w:jc w:val="left"/>
      </w:pPr>
      <w:r>
        <w:rPr/>
        <w:t xml:space="preserve">(4) If the behavioral health emergency services provider, ground ambulance transport, or behavioral health emergency services provider referenced in subsection (1) of this section are not in the enrollee's network, the managed care organization is not responsible for reimbursing these entities at a greater rate than they would be paid if the entity had been in the enrollee's network. The entities described in this subsection (4) may not balance bill, as defined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pursue a medicaid state plan amendment or take other steps necessary to obtain federal match for the coverage expansion described in section 5 of this act by January 1, 2025, or as soon thereafter as may be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p>
    <w:p>
      <w:pPr>
        <w:spacing w:before="0" w:after="0" w:line="408" w:lineRule="exact"/>
        <w:ind w:left="0" w:right="0" w:firstLine="576"/>
        <w:jc w:val="left"/>
      </w:pPr>
      <w:r>
        <w:rPr>
          <w:strike/>
        </w:rPr>
        <w:t xml:space="preserve">(6)</w:t>
      </w:r>
      <w:r>
        <w:t>))</w:t>
      </w:r>
      <w:r>
        <w:rPr/>
        <w:t xml:space="preserve"> Applicants are subject to denial of a certificate or issuance of a conditional certificate for the reasons set forth in chapter 18.130 RCW.</w:t>
      </w:r>
    </w:p>
    <w:p>
      <w:pPr>
        <w:spacing w:before="0" w:after="0" w:line="408" w:lineRule="exact"/>
        <w:ind w:left="0" w:right="0" w:firstLine="576"/>
        <w:jc w:val="left"/>
      </w:pPr>
      <w:r>
        <w:t>((</w:t>
      </w:r>
      <w:r>
        <w:rPr>
          <w:strike/>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w:t>
      </w:r>
      <w:r>
        <w:t>((</w:t>
      </w:r>
      <w:r>
        <w:rPr>
          <w:strike/>
        </w:rPr>
        <w:t xml:space="preserve">(a) 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 provided that</w:t>
      </w:r>
      <w:r>
        <w:t>))</w:t>
      </w:r>
      <w:r>
        <w:rPr/>
        <w:t xml:space="preserve"> </w:t>
      </w:r>
      <w:r>
        <w:rPr>
          <w:u w:val="single"/>
        </w:rPr>
        <w:t xml:space="preserve">if</w:t>
      </w:r>
      <w:r>
        <w:rPr/>
        <w:t xml:space="preserve"> the applicant for renewal has successfully completed eighteen hours of continuing education in the preceding year. Beginning with the second renewal, at least six of the continuing education hours in the preceding two years must be in professional ethics.</w:t>
      </w:r>
    </w:p>
    <w:p>
      <w:pPr>
        <w:spacing w:before="0" w:after="0" w:line="408" w:lineRule="exact"/>
        <w:ind w:left="0" w:right="0" w:firstLine="576"/>
        <w:jc w:val="left"/>
      </w:pPr>
      <w:r>
        <w:t>((</w:t>
      </w:r>
      <w:r>
        <w:rPr>
          <w:strike/>
        </w:rPr>
        <w:t xml:space="preserve">(b) If the secretary finds that a waiver to allow additional renewals is justified due to barriers to testing or training resulting from a governor-declared emergency, additional renewals may be approved.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2023 c 469 s 21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impose any certification, examination, or renewal fee upon a person seeking certification as a certified peer specialist trainee under chapter 18.420 RCW or, between July 1, 2025, and July 1, 2030, impose a certification, examination, or renewal fee of more than $100 upon any person seeking certification as a certified peer specialist under chapter 18.420 RCW. </w:t>
      </w:r>
      <w:r>
        <w:rPr>
          <w:u w:val="single"/>
        </w:rPr>
        <w:t xml:space="preserve">Between July 1, 2024, and July 1, 2029, the secretary may not impose any certification or certification renewal fee on a person seeking certification as a substance use disorder professional or substance use disorder professional trainee under chapter 18.205 RCW of more than $100.</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
      <w:pPr>
        <w:jc w:val="center"/>
      </w:pPr>
      <w:r>
        <w:rPr>
          <w:b/>
        </w:rPr>
        <w:t>--- END ---</w:t>
      </w:r>
    </w:p>
    <w:sectPr>
      <w:pgNumType w:start="1"/>
      <w:footerReference xmlns:r="http://schemas.openxmlformats.org/officeDocument/2006/relationships" r:id="R4afa552d9a5d4e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42e79189754f05" /><Relationship Type="http://schemas.openxmlformats.org/officeDocument/2006/relationships/footer" Target="/word/footer1.xml" Id="R4afa552d9a5d4ec1" /></Relationships>
</file>