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e1df4331e84ac4" /></Relationships>
</file>

<file path=word/document.xml><?xml version="1.0" encoding="utf-8"?>
<w:document xmlns:w="http://schemas.openxmlformats.org/wordprocessingml/2006/main">
  <w:body>
    <w:p>
      <w:r>
        <w:t>S-3982.1</w:t>
      </w:r>
    </w:p>
    <w:p>
      <w:pPr>
        <w:jc w:val="center"/>
      </w:pPr>
      <w:r>
        <w:t>_______________________________________________</w:t>
      </w:r>
    </w:p>
    <w:p/>
    <w:p>
      <w:pPr>
        <w:jc w:val="center"/>
      </w:pPr>
      <w:r>
        <w:rPr>
          <w:b/>
        </w:rPr>
        <w:t>SENATE BILL 6258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Cleveland, Robinson, and Nobles</w:t>
      </w:r>
    </w:p>
    <w:p/>
    <w:p>
      <w:r>
        <w:rPr>
          <w:t xml:space="preserve">Read first time 01/17/24.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phasing in the requirement that only standardized health plans may be offered on the health benefit exchange; amending RCW 43.71.095; and adding a new section to chapter 43.71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2021 c 246 s 7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 </w:t>
      </w:r>
      <w:r>
        <w:rPr>
          <w:u w:val="single"/>
        </w:rPr>
        <w:t xml:space="preserve">Beginning in 2027, the exchange may establish additional standardized plans at other actuarial value levels, including catastrophic and platinum.</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the silver and gold standardized health plans established under this section on the exchange in each county where the carrier offers a qualified health plan. If a health carrier offers a bronze health plan on the exchange, it must offer the bronze standardized health plans established under this section on the exchange in each county where the carrier offers a qualified health plan.</w:t>
      </w:r>
    </w:p>
    <w:p>
      <w:pPr>
        <w:spacing w:before="0" w:after="0" w:line="408" w:lineRule="exact"/>
        <w:ind w:left="0" w:right="0" w:firstLine="576"/>
        <w:jc w:val="left"/>
      </w:pPr>
      <w:r>
        <w:rPr/>
        <w:t xml:space="preserve">(b)(i) Until </w:t>
      </w:r>
      <w:r>
        <w:t>((</w:t>
      </w:r>
      <w:r>
        <w:rPr>
          <w:strike/>
        </w:rPr>
        <w:t xml:space="preserve">December 31, 2022, a health carrier offering a standardized health plan under this section may also offer nonstandardized health plans on the exchange. Beginning January 1, 2023,</w:t>
      </w:r>
      <w:r>
        <w:t>))</w:t>
      </w:r>
      <w:r>
        <w:rPr/>
        <w:t xml:space="preserve"> </w:t>
      </w:r>
      <w:r>
        <w:rPr>
          <w:u w:val="single"/>
        </w:rPr>
        <w:t xml:space="preserve">January 1, 2026,</w:t>
      </w:r>
      <w:r>
        <w:rPr/>
        <w:t xml:space="preserve">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w:t>
      </w:r>
      <w:r>
        <w:t>((</w:t>
      </w:r>
      <w:r>
        <w:rPr>
          <w:strike/>
        </w:rPr>
        <w:t xml:space="preserve">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 including an analysis of offering a bronze standardized high deductible health plan compatible with a health savings account, and a gold standardized health plan closer in actuarial value to the silver standardized health plan.</w:t>
      </w:r>
      <w:r>
        <w:t>))</w:t>
      </w:r>
      <w:r>
        <w:rPr/>
        <w:t xml:space="preserve"> </w:t>
      </w:r>
      <w:r>
        <w:rPr>
          <w:u w:val="single"/>
        </w:rPr>
        <w:t xml:space="preserve">Beginning January 1, 2026, and until January 1, 2027, a health carrier offering a standardized health plan under this section may also offer up to two nonstandardized gold health plans, two nonstandardized bronze health plans,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u w:val="single"/>
        </w:rPr>
        <w:t xml:space="preserve">(iii) Beginning January 1, 2027, a health carrier offering health plans on the exchange may only offer standardized health plans.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For 2027, the exchange must develop at least one standardized gold plan at the lower range of allowable actuarial value, at least one standardized high deductible health plan that is compatible with a health savings account, and at least one standardized catastrophic health plan. The exchange may also establish additional standardized health plans at other actuarial value levels, including platinum and catastrophic. When developing standardized health plans under this section, the exchange must use the consultation process established in RCW 43.71.095(1). Any standardized health plans developed under this section must meet the requirements of RCW 43.71.095(1) (a) through (d).</w:t>
      </w:r>
    </w:p>
    <w:p>
      <w:pPr>
        <w:spacing w:before="0" w:after="0" w:line="408" w:lineRule="exact"/>
        <w:ind w:left="0" w:right="0" w:firstLine="576"/>
        <w:jc w:val="left"/>
      </w:pPr>
      <w:r>
        <w:rPr/>
        <w:t xml:space="preserve">(2) Beginning January 1, 2027, a health carrier may elect to offer standardized health plans developed under this section only if the health carrier is also offering standardized health plans in full compliance with RCW 43.71.095.</w:t>
      </w:r>
    </w:p>
    <w:p>
      <w:pPr>
        <w:spacing w:before="0" w:after="0" w:line="408" w:lineRule="exact"/>
        <w:ind w:left="0" w:right="0" w:firstLine="576"/>
        <w:jc w:val="left"/>
      </w:pPr>
      <w:r>
        <w:rPr/>
        <w:t xml:space="preserve">(3) The exchange may designate a standardized health plan developed under this section for purposes of RCW 43.71.095.</w:t>
      </w:r>
    </w:p>
    <w:p>
      <w:pPr>
        <w:spacing w:before="0" w:after="0" w:line="408" w:lineRule="exact"/>
        <w:ind w:left="0" w:right="0" w:firstLine="576"/>
        <w:jc w:val="left"/>
      </w:pPr>
      <w:r>
        <w:rPr/>
        <w:t xml:space="preserve">(4) The exchange, using the consultation process established in RCW 43.71.095(1), may evaluate and adjust standardized health plans developed under this section to respond to changes in consumers' choice of health plans offered on the exchange and market conditions.</w:t>
      </w:r>
    </w:p>
    <w:p/>
    <w:p>
      <w:pPr>
        <w:jc w:val="center"/>
      </w:pPr>
      <w:r>
        <w:rPr>
          <w:b/>
        </w:rPr>
        <w:t>--- END ---</w:t>
      </w:r>
    </w:p>
    <w:sectPr>
      <w:pgNumType w:start="1"/>
      <w:footerReference xmlns:r="http://schemas.openxmlformats.org/officeDocument/2006/relationships" r:id="Ra3d692ed3a5b47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a4127647c4ddb" /><Relationship Type="http://schemas.openxmlformats.org/officeDocument/2006/relationships/footer" Target="/word/footer1.xml" Id="Ra3d692ed3a5b47d7" /></Relationships>
</file>