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aaa4fc1f1440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 Wilson, Lovick, Dozier,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 </w:t>
      </w:r>
      <w:r>
        <w:rPr>
          <w:u w:val="single"/>
        </w:rPr>
        <w:t xml:space="preserve">or amended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qualified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w:t>
      </w:r>
      <w:r>
        <w:t>((</w:t>
      </w:r>
      <w:r>
        <w:rPr>
          <w:strike/>
        </w:rPr>
        <w:t xml:space="preserve">a Washington energy code baseline economic analysis and economic analysis of code proposals</w:t>
      </w:r>
      <w:r>
        <w:t>))</w:t>
      </w:r>
      <w:r>
        <w:rPr/>
        <w:t xml:space="preserve"> </w:t>
      </w:r>
      <w:r>
        <w:rPr>
          <w:u w:val="single"/>
        </w:rPr>
        <w:t xml:space="preserve">comparative economic and energy analyses of proposed Washington energy code amendments and prior versions of the Washington energy code, including compliance with RCW 34.05.328 and 19.27A.160</w:t>
      </w:r>
      <w:r>
        <w:rPr/>
        <w:t xml:space="preserve">;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or amend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w:t>
      </w:r>
      <w:r>
        <w:rPr>
          <w:u w:val="single"/>
        </w:rPr>
        <w:t xml:space="preserve">and renovated</w:t>
      </w:r>
      <w:r>
        <w:rPr/>
        <w:t xml:space="preserve"> nonresidential buildings</w:t>
      </w:r>
      <w:r>
        <w:rPr>
          <w:u w:val="single"/>
        </w:rPr>
        <w:t xml:space="preserve">, as specified in this chapter,</w:t>
      </w:r>
      <w:r>
        <w:rPr/>
        <w:t xml:space="preserve">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allowed in RCW 19.27.031 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or amendment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or amend the state building code or code sections at any time pursuant to legislative direction as reflected in legislation signed into law.</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or amendment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w:t>
      </w:r>
    </w:p>
    <w:p>
      <w:pPr>
        <w:spacing w:before="0" w:after="0" w:line="408" w:lineRule="exact"/>
        <w:ind w:left="0" w:right="0" w:firstLine="576"/>
        <w:jc w:val="left"/>
      </w:pPr>
      <w:r>
        <w:rPr/>
        <w:t xml:space="preserve">(e)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(f)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or amendment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32be26d62504e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09feb1ce14c14" /><Relationship Type="http://schemas.openxmlformats.org/officeDocument/2006/relationships/footer" Target="/word/footer1.xml" Id="Ra32be26d62504e8a" /></Relationships>
</file>