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c1c8814a345c8" /></Relationships>
</file>

<file path=word/document.xml><?xml version="1.0" encoding="utf-8"?>
<w:document xmlns:w="http://schemas.openxmlformats.org/wordprocessingml/2006/main">
  <w:body>
    <w:p>
      <w:r>
        <w:t>S-4705.2</w:t>
      </w:r>
    </w:p>
    <w:p>
      <w:pPr>
        <w:jc w:val="center"/>
      </w:pPr>
      <w:r>
        <w:t>_______________________________________________</w:t>
      </w:r>
    </w:p>
    <w:p/>
    <w:p>
      <w:pPr>
        <w:jc w:val="center"/>
      </w:pPr>
      <w:r>
        <w:rPr>
          <w:b/>
        </w:rPr>
        <w:t>SUBSTITUTE SENATE BILL 6304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Liias, Nguyen, and Kuderer)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certain recommendations of the transportation electrification strategy; amending RCW 43.31.970, 47.01.520, 35.92.450, 54.16.430, 80.28.360, and 46.37.423; reenacting and amending RCW 43.84.092, 43.84.092, and 43.84.092; adding a new section to chapter 46.37 RCW; adding a new section to chapter 70A.350 RCW; adding a new section to chapter 28A.160 RCW; adding a new section to chapter 43.01 RCW; adding a new chapter to Title 19 RCW; adding a new chapter to Title 70A RCW; creating a new section;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VEHICLE SUPPLY EQUIPMENT INSTALLATION, INFORMATION, AND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2023 c 470 s 2046 are each amended to read as follows:</w:t>
      </w:r>
    </w:p>
    <w:p>
      <w:pPr>
        <w:spacing w:before="0" w:after="0" w:line="408" w:lineRule="exact"/>
        <w:ind w:left="0" w:right="0" w:firstLine="576"/>
        <w:jc w:val="left"/>
      </w:pPr>
      <w:r>
        <w:rPr/>
        <w:t xml:space="preserve">The department of commerce must </w:t>
      </w:r>
      <w:r>
        <w:t>((</w:t>
      </w:r>
      <w:r>
        <w:rPr>
          <w:strike/>
        </w:rPr>
        <w:t xml:space="preserve">distribute</w:t>
      </w:r>
      <w:r>
        <w:t>))</w:t>
      </w:r>
      <w:r>
        <w:rPr>
          <w:u w:val="single"/>
        </w:rPr>
        <w:t xml:space="preserve">:</w:t>
      </w:r>
    </w:p>
    <w:p>
      <w:pPr>
        <w:spacing w:before="0" w:after="0" w:line="408" w:lineRule="exact"/>
        <w:ind w:left="0" w:right="0" w:firstLine="576"/>
        <w:jc w:val="left"/>
      </w:pPr>
      <w:r>
        <w:rPr>
          <w:u w:val="single"/>
        </w:rPr>
        <w:t xml:space="preserve">(1) Coordinate with the interagency electric vehicle coordinating council, state and local agencies, climate and environmental justice organizations, consumer and ratepayer advocates, industry representatives, labor representatives, consumer-owned electric utilities, investor-owned electric utilities, and building owners and operators to implement this section;</w:t>
      </w:r>
    </w:p>
    <w:p>
      <w:pPr>
        <w:spacing w:before="0" w:after="0" w:line="408" w:lineRule="exact"/>
        <w:ind w:left="0" w:right="0" w:firstLine="576"/>
        <w:jc w:val="left"/>
      </w:pPr>
      <w:r>
        <w:rPr>
          <w:u w:val="single"/>
        </w:rPr>
        <w:t xml:space="preserve">(2) Develop recommended legislative language, delivered to the legislature, on:</w:t>
      </w:r>
    </w:p>
    <w:p>
      <w:pPr>
        <w:spacing w:before="0" w:after="0" w:line="408" w:lineRule="exact"/>
        <w:ind w:left="0" w:right="0" w:firstLine="576"/>
        <w:jc w:val="left"/>
      </w:pPr>
      <w:r>
        <w:rPr>
          <w:u w:val="single"/>
        </w:rPr>
        <w:t xml:space="preserve">(a) Maximum timelines for electric vehicle supply equipment project permitting and interconnection;</w:t>
      </w:r>
    </w:p>
    <w:p>
      <w:pPr>
        <w:spacing w:before="0" w:after="0" w:line="408" w:lineRule="exact"/>
        <w:ind w:left="0" w:right="0" w:firstLine="576"/>
        <w:jc w:val="left"/>
      </w:pPr>
      <w:r>
        <w:rPr>
          <w:u w:val="single"/>
        </w:rPr>
        <w:t xml:space="preserve">(b) Necessary reporting requirements for electric utilities on transportation electrification efforts;</w:t>
      </w:r>
    </w:p>
    <w:p>
      <w:pPr>
        <w:spacing w:before="0" w:after="0" w:line="408" w:lineRule="exact"/>
        <w:ind w:left="0" w:right="0" w:firstLine="576"/>
        <w:jc w:val="left"/>
      </w:pPr>
      <w:r>
        <w:rPr>
          <w:u w:val="single"/>
        </w:rPr>
        <w:t xml:space="preserve">(c) Requirements for consumer information on electric vehicle supply equipment;</w:t>
      </w:r>
    </w:p>
    <w:p>
      <w:pPr>
        <w:spacing w:before="0" w:after="0" w:line="408" w:lineRule="exact"/>
        <w:ind w:left="0" w:right="0" w:firstLine="576"/>
        <w:jc w:val="left"/>
      </w:pPr>
      <w:r>
        <w:rPr>
          <w:u w:val="single"/>
        </w:rPr>
        <w:t xml:space="preserve">(d) Extending right-to-charge policies to tenants and homeowners outside of common interest communities;</w:t>
      </w:r>
    </w:p>
    <w:p>
      <w:pPr>
        <w:spacing w:before="0" w:after="0" w:line="408" w:lineRule="exact"/>
        <w:ind w:left="0" w:right="0" w:firstLine="576"/>
        <w:jc w:val="left"/>
      </w:pPr>
      <w:r>
        <w:rPr>
          <w:u w:val="single"/>
        </w:rPr>
        <w:t xml:space="preserve">(e) Reliability standards for both publicly funded and publicly available electric vehicle supply equipment; and</w:t>
      </w:r>
    </w:p>
    <w:p>
      <w:pPr>
        <w:spacing w:before="0" w:after="0" w:line="408" w:lineRule="exact"/>
        <w:ind w:left="0" w:right="0" w:firstLine="576"/>
        <w:jc w:val="left"/>
      </w:pPr>
      <w:r>
        <w:rPr>
          <w:u w:val="single"/>
        </w:rPr>
        <w:t xml:space="preserve">(f) Other policies to implement recommendations on improving electric vehicle supply equipment availability and use in the transportation electrification strategy under RCW 43.392.040;</w:t>
      </w:r>
    </w:p>
    <w:p>
      <w:pPr>
        <w:spacing w:before="0" w:after="0" w:line="408" w:lineRule="exact"/>
        <w:ind w:left="0" w:right="0" w:firstLine="576"/>
        <w:jc w:val="left"/>
      </w:pPr>
      <w:r>
        <w:rPr>
          <w:u w:val="single"/>
        </w:rPr>
        <w:t xml:space="preserve">(3) Develop a comprehensive and publicly available inventory of all electric vehicle supply equipment in Washington by December 31, 2025.</w:t>
      </w:r>
    </w:p>
    <w:p>
      <w:pPr>
        <w:spacing w:before="0" w:after="0" w:line="408" w:lineRule="exact"/>
        <w:ind w:left="0" w:right="0" w:firstLine="576"/>
        <w:jc w:val="left"/>
      </w:pPr>
      <w:r>
        <w:rPr>
          <w:u w:val="single"/>
        </w:rPr>
        <w:t xml:space="preserve">(a) The department must develop reporting requirements for electric vehicle supply equipment providers, owners, and operators or any other entities necessary to develop the inventory in this subsection.</w:t>
      </w:r>
    </w:p>
    <w:p>
      <w:pPr>
        <w:spacing w:before="0" w:after="0" w:line="408" w:lineRule="exact"/>
        <w:ind w:left="0" w:right="0" w:firstLine="576"/>
        <w:jc w:val="left"/>
      </w:pPr>
      <w:r>
        <w:rPr>
          <w:u w:val="single"/>
        </w:rPr>
        <w:t xml:space="preserve">(b) For publicly available or shared use electric vehicle supply equipment, the department must require entities to report reliability data as determined by the department.</w:t>
      </w:r>
    </w:p>
    <w:p>
      <w:pPr>
        <w:spacing w:before="0" w:after="0" w:line="408" w:lineRule="exact"/>
        <w:ind w:left="0" w:right="0" w:firstLine="576"/>
        <w:jc w:val="left"/>
      </w:pPr>
      <w:r>
        <w:rPr>
          <w:u w:val="single"/>
        </w:rPr>
        <w:t xml:space="preserve">(c) The department must adopt rules to determine necessary information and a reporting process for collecting data for the inventory;</w:t>
      </w:r>
    </w:p>
    <w:p>
      <w:pPr>
        <w:spacing w:before="0" w:after="0" w:line="408" w:lineRule="exact"/>
        <w:ind w:left="0" w:right="0" w:firstLine="576"/>
        <w:jc w:val="left"/>
      </w:pPr>
      <w:r>
        <w:rPr>
          <w:u w:val="single"/>
        </w:rPr>
        <w:t xml:space="preserve">(4) Distribute</w:t>
      </w:r>
      <w:r>
        <w:rPr/>
        <w:t xml:space="preserve"> to local governments model ordinances, model development regulations, and guidance for local governments for siting and installing electric vehicle infrastructure</w:t>
      </w:r>
      <w:r>
        <w:t>((</w:t>
      </w:r>
      <w:r>
        <w:rPr>
          <w:strike/>
        </w:rPr>
        <w:t xml:space="preserve">, and in particular battery charging stations, and appropriate handling, recycling, and storage of electric vehicle batteries and equipment, when available</w:t>
      </w:r>
      <w:r>
        <w:t>))</w:t>
      </w:r>
      <w:r>
        <w:rPr/>
        <w:t xml:space="preserve"> </w:t>
      </w:r>
      <w:r>
        <w:rPr>
          <w:u w:val="single"/>
        </w:rPr>
        <w:t xml:space="preserve">by December 31, 2025, and every five years thereafter</w:t>
      </w:r>
      <w:r>
        <w:rPr/>
        <w:t xml:space="preserv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520</w:t>
      </w:r>
      <w:r>
        <w:rPr/>
        <w:t xml:space="preserve"> and 2021 c 300 s 2 are each amended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w:t>
      </w:r>
      <w:r>
        <w:t>((</w:t>
      </w:r>
      <w:r>
        <w:rPr>
          <w:strike/>
        </w:rPr>
        <w:t xml:space="preserve">To the greatest extent possible, maintain</w:t>
      </w:r>
      <w:r>
        <w:t>))</w:t>
      </w:r>
      <w:r>
        <w:rPr/>
        <w:t xml:space="preserve"> </w:t>
      </w:r>
      <w:r>
        <w:rPr>
          <w:u w:val="single"/>
        </w:rPr>
        <w:t xml:space="preserve">Incorporate</w:t>
      </w:r>
      <w:r>
        <w:rPr/>
        <w:t xml:space="preserve"> the latest data </w:t>
      </w:r>
      <w:r>
        <w:rPr>
          <w:u w:val="single"/>
        </w:rPr>
        <w:t xml:space="preserve">on public and shared use charging from the inventory of electric vehicle supply equipment as specified in RCW 43.31.970</w:t>
      </w:r>
      <w:r>
        <w:rPr/>
        <w:t xml:space="preserve">;</w:t>
      </w:r>
    </w:p>
    <w:p>
      <w:pPr>
        <w:spacing w:before="0" w:after="0" w:line="408" w:lineRule="exact"/>
        <w:ind w:left="0" w:right="0" w:firstLine="576"/>
        <w:jc w:val="left"/>
      </w:pPr>
      <w:r>
        <w:rPr/>
        <w:t xml:space="preserve">(iii) </w:t>
      </w:r>
      <w:r>
        <w:t>((</w:t>
      </w:r>
      <w:r>
        <w:rPr>
          <w:strike/>
        </w:rPr>
        <w:t xml:space="preserve">Model charging and</w:t>
      </w:r>
      <w:r>
        <w:t>))</w:t>
      </w:r>
      <w:r>
        <w:rPr/>
        <w:t xml:space="preserve"> </w:t>
      </w:r>
      <w:r>
        <w:rPr>
          <w:u w:val="single"/>
        </w:rPr>
        <w:t xml:space="preserve">Use electric vehicle supply equipment estimates as identified in the transportation electrification strategy under RCW 43.392.040 and model hydrogen</w:t>
      </w:r>
      <w:r>
        <w:rPr/>
        <w:t xml:space="preserve"> refueling infrastructure that may be used by owners and operators of light, medium, and heavy 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w:t>
      </w:r>
      <w:r>
        <w:t>((</w:t>
      </w:r>
      <w:r>
        <w:rPr>
          <w:strike/>
        </w:rPr>
        <w:t xml:space="preserve">Forecast</w:t>
      </w:r>
      <w:r>
        <w:t>))</w:t>
      </w:r>
      <w:r>
        <w:rPr/>
        <w:t xml:space="preserve"> </w:t>
      </w:r>
      <w:r>
        <w:rPr>
          <w:u w:val="single"/>
        </w:rPr>
        <w:t xml:space="preserve">Use</w:t>
      </w:r>
      <w:r>
        <w:rPr/>
        <w:t xml:space="preserve"> statewide zero emissions vehicle </w:t>
      </w:r>
      <w:r>
        <w:t>((</w:t>
      </w:r>
      <w:r>
        <w:rPr>
          <w:strike/>
        </w:rPr>
        <w:t xml:space="preserve">use that would achieve the emissions reductions consistent with RCW 70A.45.020</w:t>
      </w:r>
      <w:r>
        <w:t>))</w:t>
      </w:r>
      <w:r>
        <w:rPr/>
        <w:t xml:space="preserve"> </w:t>
      </w:r>
      <w:r>
        <w:rPr>
          <w:u w:val="single"/>
        </w:rPr>
        <w:t xml:space="preserve">estimates from the transportation electrification strategy under RCW 43.392.040</w:t>
      </w:r>
      <w:r>
        <w:rPr/>
        <w:t xml:space="preserve">. The department may reference </w:t>
      </w:r>
      <w:r>
        <w:t>((</w:t>
      </w:r>
      <w:r>
        <w:rPr>
          <w:strike/>
        </w:rPr>
        <w:t xml:space="preserve">existing</w:t>
      </w:r>
      <w:r>
        <w:t>))</w:t>
      </w:r>
      <w:r>
        <w:rPr/>
        <w:t xml:space="preserve"> zero emissions vehicle use forecasts </w:t>
      </w:r>
      <w:r>
        <w:rPr>
          <w:u w:val="single"/>
        </w:rPr>
        <w:t xml:space="preserve">that update the transportation electrification strategy estimates</w:t>
      </w:r>
      <w:r>
        <w:rPr/>
        <w:t xml:space="preserve">,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w:t>
      </w:r>
      <w:r>
        <w:t>((</w:t>
      </w:r>
      <w:r>
        <w:rPr>
          <w:strike/>
        </w:rPr>
        <w:t xml:space="preserve">RCW 70A.45.020</w:t>
      </w:r>
      <w:r>
        <w:t>))</w:t>
      </w:r>
      <w:r>
        <w:rPr/>
        <w:t xml:space="preserve"> </w:t>
      </w:r>
      <w:r>
        <w:rPr>
          <w:u w:val="single"/>
        </w:rPr>
        <w:t xml:space="preserve">estimates from the transportation electrification strategy under RCW 43.392.040</w:t>
      </w:r>
      <w:r>
        <w:rPr/>
        <w:t xml:space="preserve">.</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UTILITY TRANSPORTATION ELECTRIFICATION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92</w:t>
      </w:r>
      <w:r>
        <w:rPr/>
        <w:t xml:space="preserve">.</w:t>
      </w:r>
      <w:r>
        <w:t xml:space="preserve">450</w:t>
      </w:r>
      <w:r>
        <w:rPr/>
        <w:t xml:space="preserve"> and 2019 c 109 s 2 are each amended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w:t>
      </w:r>
      <w:r>
        <w:t>((</w:t>
      </w:r>
      <w:r>
        <w:rPr>
          <w:strike/>
        </w:rPr>
        <w:t xml:space="preserve">, at a minimum, establishes a finding that</w:t>
      </w:r>
      <w:r>
        <w:t>))</w:t>
      </w:r>
      <w:r>
        <w:rPr/>
        <w:t xml:space="preserve"> </w:t>
      </w:r>
      <w:r>
        <w:rPr>
          <w:u w:val="single"/>
        </w:rPr>
        <w:t xml:space="preserve">provides</w:t>
      </w:r>
      <w:r>
        <w:rPr/>
        <w:t xml:space="preserve"> utility outreach and investment in the electrification of transportation infrastructure </w:t>
      </w:r>
      <w:r>
        <w:t>((</w:t>
      </w:r>
      <w:r>
        <w:rPr>
          <w:strike/>
        </w:rPr>
        <w:t xml:space="preserve">does not increase net costs to ratepayers in excess of one-quarter of one percent</w:t>
      </w:r>
      <w:r>
        <w:t>))</w:t>
      </w:r>
      <w:r>
        <w:rPr/>
        <w:t xml:space="preserve">.</w:t>
      </w:r>
    </w:p>
    <w:p>
      <w:pPr>
        <w:spacing w:before="0" w:after="0" w:line="408" w:lineRule="exact"/>
        <w:ind w:left="0" w:right="0" w:firstLine="576"/>
        <w:jc w:val="left"/>
      </w:pPr>
      <w:r>
        <w:rPr/>
        <w:t xml:space="preserve">(2) </w:t>
      </w:r>
      <w:r>
        <w:rPr>
          <w:u w:val="single"/>
        </w:rPr>
        <w:t xml:space="preserve">In making investments under subsection (1) of this section, the governing authority must:</w:t>
      </w:r>
    </w:p>
    <w:p>
      <w:pPr>
        <w:spacing w:before="0" w:after="0" w:line="408" w:lineRule="exact"/>
        <w:ind w:left="0" w:right="0" w:firstLine="576"/>
        <w:jc w:val="left"/>
      </w:pPr>
      <w:r>
        <w:rPr>
          <w:u w:val="single"/>
        </w:rPr>
        <w:t xml:space="preserve">(a) Prioritize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(b) Meet or exceed the same equity-related investment requirements in RCW 70A.535.080 as implemented by the department of ecology.</w:t>
      </w:r>
    </w:p>
    <w:p>
      <w:pPr>
        <w:spacing w:before="0" w:after="0" w:line="408" w:lineRule="exact"/>
        <w:ind w:left="0" w:right="0" w:firstLine="576"/>
        <w:jc w:val="left"/>
      </w:pPr>
      <w:r>
        <w:rPr>
          <w:u w:val="single"/>
        </w:rPr>
        <w:t xml:space="preserve">(3)</w:t>
      </w:r>
      <w:r>
        <w:rPr/>
        <w:t xml:space="preserve">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430</w:t>
      </w:r>
      <w:r>
        <w:rPr/>
        <w:t xml:space="preserve"> and 2019 c 109 s 3 are each amended to read as follows:</w:t>
      </w:r>
    </w:p>
    <w:p>
      <w:pPr>
        <w:spacing w:before="0" w:after="0" w:line="408" w:lineRule="exact"/>
        <w:ind w:left="0" w:right="0" w:firstLine="576"/>
        <w:jc w:val="left"/>
      </w:pPr>
      <w:r>
        <w:rPr/>
        <w:t xml:space="preserve">(1) The commission of a public utility district may adopt an electrification of transportation plan that</w:t>
      </w:r>
      <w:r>
        <w:t>((</w:t>
      </w:r>
      <w:r>
        <w:rPr>
          <w:strike/>
        </w:rPr>
        <w:t xml:space="preserve">, at a minimum, establishes a finding that</w:t>
      </w:r>
      <w:r>
        <w:t>))</w:t>
      </w:r>
      <w:r>
        <w:rPr/>
        <w:t xml:space="preserve"> </w:t>
      </w:r>
      <w:r>
        <w:rPr>
          <w:u w:val="single"/>
        </w:rPr>
        <w:t xml:space="preserve">provides utility</w:t>
      </w:r>
      <w:r>
        <w:rPr/>
        <w:t xml:space="preserve"> outreach and investment in the electrification of transportation infrastructure </w:t>
      </w:r>
      <w:r>
        <w:t>((</w:t>
      </w:r>
      <w:r>
        <w:rPr>
          <w:strike/>
        </w:rPr>
        <w:t xml:space="preserve">does not increase net costs to ratepayers in excess of one-quarter of one percent</w:t>
      </w:r>
      <w:r>
        <w:t>))</w:t>
      </w:r>
      <w:r>
        <w:rPr/>
        <w:t xml:space="preserve">.</w:t>
      </w:r>
    </w:p>
    <w:p>
      <w:pPr>
        <w:spacing w:before="0" w:after="0" w:line="408" w:lineRule="exact"/>
        <w:ind w:left="0" w:right="0" w:firstLine="576"/>
        <w:jc w:val="left"/>
      </w:pPr>
      <w:r>
        <w:rPr/>
        <w:t xml:space="preserve">(2) </w:t>
      </w:r>
      <w:r>
        <w:rPr>
          <w:u w:val="single"/>
        </w:rPr>
        <w:t xml:space="preserve">In making investments under subsection (1) of this section, a public utility district must:</w:t>
      </w:r>
    </w:p>
    <w:p>
      <w:pPr>
        <w:spacing w:before="0" w:after="0" w:line="408" w:lineRule="exact"/>
        <w:ind w:left="0" w:right="0" w:firstLine="576"/>
        <w:jc w:val="left"/>
      </w:pPr>
      <w:r>
        <w:rPr>
          <w:u w:val="single"/>
        </w:rPr>
        <w:t xml:space="preserve">(a) Prioritize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(b) Meet or exceed the same equity-related investment requirements in RCW 70A.535.080 as implemented by the department of ecology.</w:t>
      </w:r>
    </w:p>
    <w:p>
      <w:pPr>
        <w:spacing w:before="0" w:after="0" w:line="408" w:lineRule="exact"/>
        <w:ind w:left="0" w:right="0" w:firstLine="576"/>
        <w:jc w:val="left"/>
      </w:pPr>
      <w:r>
        <w:rPr>
          <w:u w:val="single"/>
        </w:rPr>
        <w:t xml:space="preserve">(3)</w:t>
      </w:r>
      <w:r>
        <w:rPr/>
        <w:t xml:space="preserve"> In adopting an electrification of transportation plan under subsection (1) of this section, the </w:t>
      </w:r>
      <w:r>
        <w:t>((</w:t>
      </w:r>
      <w:r>
        <w:rPr>
          <w:strike/>
        </w:rPr>
        <w:t xml:space="preserve">commission of a</w:t>
      </w:r>
      <w:r>
        <w:t>))</w:t>
      </w:r>
      <w:r>
        <w:rPr/>
        <w:t xml:space="preserve">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287 s 6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t>((</w:t>
      </w:r>
      <w:r>
        <w:rPr>
          <w:strike/>
        </w:rPr>
        <w:t xml:space="preserve">through December 31, 2030,</w:t>
      </w:r>
      <w:r>
        <w:t>))</w:t>
      </w:r>
      <w:r>
        <w:rPr/>
        <w:t xml:space="preserve"> on capital expenditures for electric vehicle supply equipment that is deployed for the benefit of ratepayers</w:t>
      </w:r>
      <w:r>
        <w:t>((</w:t>
      </w:r>
      <w:r>
        <w:rPr>
          <w:strike/>
        </w:rPr>
        <w:t xml:space="preserve">, provided that the capital expenditures of the utilities' programs or plans in RCW 80.28.365(1) do not increase the annual retail revenue requirement of the utility, after accounting for the benefits of transportation electrification in each year of the plan, in excess of one-quarter of one percent</w:t>
      </w:r>
      <w:r>
        <w:t>))</w:t>
      </w:r>
      <w:r>
        <w:rPr/>
        <w:t xml:space="preserve">.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company chooses to pursue capital investment in electric vehicle supply equipment on a fully regulated basis similar to other capital investments behind a customer's meter. </w:t>
      </w:r>
      <w:r>
        <w:t>((</w:t>
      </w:r>
      <w:r>
        <w:rPr>
          <w:strike/>
        </w:rPr>
        <w:t xml:space="preserve">In the case of an incentive rate of return on investment allowed under this section, an increment of up to two percent must be added to the rate of return on common equity allowed on the company's other investments.</w:t>
      </w:r>
      <w:r>
        <w:t>))</w:t>
      </w:r>
    </w:p>
    <w:p>
      <w:pPr>
        <w:spacing w:before="0" w:after="0" w:line="408" w:lineRule="exact"/>
        <w:ind w:left="0" w:right="0" w:firstLine="576"/>
        <w:jc w:val="left"/>
      </w:pPr>
      <w:r>
        <w:rPr>
          <w:u w:val="single"/>
        </w:rPr>
        <w:t xml:space="preserve">(b) The company prioritizes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(c) The company meets or exceeds the same equity-related investment requirements in RCW 70A.535.080 as implemented by the department of ecology or a higher standard as set by the commission.</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ROLLING RESISTANCE OF REPLACEMENT TIRES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Rolling resistance of tires has a significant effect on the fuel efficiency of motor vehicles, and the sales of high rolling resistance replacement tires when low rolling resistance tire technology is in use by new vehicles costs the average gasoline vehicle driver the equivalent of approximately two-thirds the state gas tax;</w:t>
      </w:r>
    </w:p>
    <w:p>
      <w:pPr>
        <w:spacing w:before="0" w:after="0" w:line="408" w:lineRule="exact"/>
        <w:ind w:left="0" w:right="0" w:firstLine="576"/>
        <w:jc w:val="left"/>
      </w:pPr>
      <w:r>
        <w:rPr/>
        <w:t xml:space="preserve">(2) Testing of available tires in the United States market, commissioned by the pacific electric and gas company and conducted by an independent consultant, demonstrated no negative correlation between low rolling resistance and tire safety or tire longevity;</w:t>
      </w:r>
    </w:p>
    <w:p>
      <w:pPr>
        <w:spacing w:before="0" w:after="0" w:line="408" w:lineRule="exact"/>
        <w:ind w:left="0" w:right="0" w:firstLine="576"/>
        <w:jc w:val="left"/>
      </w:pPr>
      <w:r>
        <w:rPr/>
        <w:t xml:space="preserve">(3) Analysis conducted by the department's energy policy office shows adoption of reasonable replacement tire energy efficiency standards could result in an approximate cumulative reduction of 600,000,000 gallons of gasoline and 1,500 gigawatt hours of electricity, equating to a savings of $3,000,000,000 in transportation costs for Washington drivers and 5,000,000 metric tons of carbon dioxide from 2026 to 2035, assuming a 10 percent reduction in rolling resistance improves gasoline fuel efficiency by three percent and electricity fuel efficiency by eight percent;</w:t>
      </w:r>
    </w:p>
    <w:p>
      <w:pPr>
        <w:spacing w:before="0" w:after="0" w:line="408" w:lineRule="exact"/>
        <w:ind w:left="0" w:right="0" w:firstLine="576"/>
        <w:jc w:val="left"/>
      </w:pPr>
      <w:r>
        <w:rPr/>
        <w:t xml:space="preserve">(4) The transportation electrification strategy required in RCW 43.392.040 concludes that the state must also urgently pursue nonelectrification policies, including lower rolling resistance replacement tires, to comply with the greenhouse gas emissions limits in RCW 70A.45.020.</w:t>
      </w:r>
    </w:p>
    <w:p>
      <w:pPr>
        <w:spacing w:before="0" w:after="0" w:line="408" w:lineRule="exact"/>
        <w:ind w:left="0" w:right="0" w:firstLine="576"/>
        <w:jc w:val="left"/>
      </w:pPr>
      <w:r>
        <w:rPr/>
        <w:t xml:space="preserve">(5) Providing authority to the department to adopt energy efficiency standards for replacement tires sold in the state could therefore lower gasoline and electricity costs for drivers, reduce greenhouse gas emissions, and improve public health especially for overburdened communities near highways through reduced transportation-related air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"Light duty truck" means any motor vehicle other than a passenger car with a gross vehicle weight rating not exceeding 10,000 pounds.</w:t>
      </w:r>
    </w:p>
    <w:p>
      <w:pPr>
        <w:spacing w:before="0" w:after="0" w:line="408" w:lineRule="exact"/>
        <w:ind w:left="0" w:right="0" w:firstLine="576"/>
        <w:jc w:val="left"/>
      </w:pPr>
      <w:r>
        <w:rPr/>
        <w:t xml:space="preserve">(3) "Passenger car" means any motor vehicle designed primarily for transportation of persons, having a design capacity of 12 persons or less, with a gross vehicle weight rating not exceeding 10,000 pounds.</w:t>
      </w:r>
    </w:p>
    <w:p>
      <w:pPr>
        <w:spacing w:before="0" w:after="0" w:line="408" w:lineRule="exact"/>
        <w:ind w:left="0" w:right="0" w:firstLine="576"/>
        <w:jc w:val="left"/>
      </w:pPr>
      <w:r>
        <w:rPr/>
        <w:t xml:space="preserve">(4) "Replacement tire" means a passenger car or light duty truck tire sold or offered for sale in the state, except a tire sold:</w:t>
      </w:r>
    </w:p>
    <w:p>
      <w:pPr>
        <w:spacing w:before="0" w:after="0" w:line="408" w:lineRule="exact"/>
        <w:ind w:left="0" w:right="0" w:firstLine="576"/>
        <w:jc w:val="left"/>
      </w:pPr>
      <w:r>
        <w:rPr/>
        <w:t xml:space="preserve">(a) At wholesale for final retail sale outside the state; or</w:t>
      </w:r>
    </w:p>
    <w:p>
      <w:pPr>
        <w:spacing w:before="0" w:after="0" w:line="408" w:lineRule="exact"/>
        <w:ind w:left="0" w:right="0" w:firstLine="576"/>
        <w:jc w:val="left"/>
      </w:pPr>
      <w:r>
        <w:rPr/>
        <w:t xml:space="preserve">(b) With a new passenger car or light duty truck.</w:t>
      </w:r>
    </w:p>
    <w:p>
      <w:pPr>
        <w:spacing w:before="0" w:after="0" w:line="408" w:lineRule="exact"/>
        <w:ind w:left="0" w:right="0" w:firstLine="576"/>
        <w:jc w:val="left"/>
      </w:pPr>
      <w:r>
        <w:rPr/>
        <w:t xml:space="preserve">(5) "Rolling resistance coefficient" means the ratio of the rolling resistance force, in newtons, to the load on the tire in kilonewtons.</w:t>
      </w:r>
    </w:p>
    <w:p>
      <w:pPr>
        <w:spacing w:before="0" w:after="0" w:line="408" w:lineRule="exact"/>
        <w:ind w:left="0" w:right="0" w:firstLine="576"/>
        <w:jc w:val="left"/>
      </w:pPr>
      <w:r>
        <w:rPr/>
        <w:t xml:space="preserve">(6) "Tire brand name owner" means a person, other than a tire manufacturer, who owns or has the right to control the brand name of a tire or a person who licenses another to purchase tires from a tire manufacturer bearing the licensor's brand name.</w:t>
      </w:r>
    </w:p>
    <w:p>
      <w:pPr>
        <w:spacing w:before="0" w:after="0" w:line="408" w:lineRule="exact"/>
        <w:ind w:left="0" w:right="0" w:firstLine="576"/>
        <w:jc w:val="left"/>
      </w:pPr>
      <w:r>
        <w:rPr/>
        <w:t xml:space="preserve">(7) "Tire manufacturer" means a person, parent corporation, subsidiary, affiliate, or any other entity, other than a tire retailer, who manufactures or assembles replacement tires, or imports or distributes replacement tires in or into Washington for sale or use in Washington.</w:t>
      </w:r>
    </w:p>
    <w:p>
      <w:pPr>
        <w:spacing w:before="0" w:after="0" w:line="408" w:lineRule="exact"/>
        <w:ind w:left="0" w:right="0" w:firstLine="576"/>
        <w:jc w:val="left"/>
      </w:pPr>
      <w:r>
        <w:rPr/>
        <w:t xml:space="preserve">(8) "Tire retailer" means a dealer or distributor in the state, other than a tire brand name owner, that does not manufacture tires and sells replacement tires directly to a Washington resident.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either passenger car replacement tires or light duty truck replacement tires, or both, for sale or offered for sale in Washington.</w:t>
      </w:r>
    </w:p>
    <w:p>
      <w:pPr>
        <w:spacing w:before="0" w:after="0" w:line="408" w:lineRule="exact"/>
        <w:ind w:left="0" w:right="0" w:firstLine="576"/>
        <w:jc w:val="left"/>
      </w:pPr>
      <w:r>
        <w:rPr/>
        <w:t xml:space="preserve">(2) The department, to establish and enforce energy efficiency standards for replacement tires, may adopt and implement any combination of the following:</w:t>
      </w:r>
    </w:p>
    <w:p>
      <w:pPr>
        <w:spacing w:before="0" w:after="0" w:line="408" w:lineRule="exact"/>
        <w:ind w:left="0" w:right="0" w:firstLine="576"/>
        <w:jc w:val="left"/>
      </w:pPr>
      <w:r>
        <w:rPr/>
        <w:t xml:space="preserve">(a) A database of replacement tires in production offered for sale or distribution in the state;</w:t>
      </w:r>
    </w:p>
    <w:p>
      <w:pPr>
        <w:spacing w:before="0" w:after="0" w:line="408" w:lineRule="exact"/>
        <w:ind w:left="0" w:right="0" w:firstLine="576"/>
        <w:jc w:val="left"/>
      </w:pPr>
      <w:r>
        <w:rPr/>
        <w:t xml:space="preserve">(b) Requirements for any tire brand name owners and tire manufacturers with replacement tires in production offered for sale or distribution in the state to report information necessary to implement this section;</w:t>
      </w:r>
    </w:p>
    <w:p>
      <w:pPr>
        <w:spacing w:before="0" w:after="0" w:line="408" w:lineRule="exact"/>
        <w:ind w:left="0" w:right="0" w:firstLine="576"/>
        <w:jc w:val="left"/>
      </w:pPr>
      <w:r>
        <w:rPr/>
        <w:t xml:space="preserve">(c) A rating system for the energy efficiency of replacement tires based on their rolling resistance coefficient;</w:t>
      </w:r>
    </w:p>
    <w:p>
      <w:pPr>
        <w:spacing w:before="0" w:after="0" w:line="408" w:lineRule="exact"/>
        <w:ind w:left="0" w:right="0" w:firstLine="576"/>
        <w:jc w:val="left"/>
      </w:pPr>
      <w:r>
        <w:rPr/>
        <w:t xml:space="preserve">(d) Testing procedures in alignment with enacted regulations by the national highway transportation safety administration as they existed as of the effective date of this section; and</w:t>
      </w:r>
    </w:p>
    <w:p>
      <w:pPr>
        <w:spacing w:before="0" w:after="0" w:line="408" w:lineRule="exact"/>
        <w:ind w:left="0" w:right="0" w:firstLine="576"/>
        <w:jc w:val="left"/>
      </w:pPr>
      <w:r>
        <w:rPr/>
        <w:t xml:space="preserve">(e) Minimum energy efficiency standards for replacement tires based on their rolling resistance.</w:t>
      </w:r>
    </w:p>
    <w:p>
      <w:pPr>
        <w:spacing w:before="0" w:after="0" w:line="408" w:lineRule="exact"/>
        <w:ind w:left="0" w:right="0" w:firstLine="576"/>
        <w:jc w:val="left"/>
      </w:pPr>
      <w:r>
        <w:rPr/>
        <w:t xml:space="preserve">(3)(a) The department may prohibit the sale or offer for sale of replacement tires that do not meet the minimum energy efficiency standards set in subsection (2) of this section.</w:t>
      </w:r>
    </w:p>
    <w:p>
      <w:pPr>
        <w:spacing w:before="0" w:after="0" w:line="408" w:lineRule="exact"/>
        <w:ind w:left="0" w:right="0" w:firstLine="576"/>
        <w:jc w:val="left"/>
      </w:pPr>
      <w:r>
        <w:rPr/>
        <w:t xml:space="preserve">(b) Any rules adopted by the department prohibiting the sale or offer for sale of replacement tires based on their rolling resistance:</w:t>
      </w:r>
    </w:p>
    <w:p>
      <w:pPr>
        <w:spacing w:before="0" w:after="0" w:line="408" w:lineRule="exact"/>
        <w:ind w:left="0" w:right="0" w:firstLine="576"/>
        <w:jc w:val="left"/>
      </w:pPr>
      <w:r>
        <w:rPr/>
        <w:t xml:space="preserve">(i) May not adversely affect tire safety or tire longevity as demonstrated by the testing of wet grip or traction and treadwear by an independent analyst prepared for the department or another state energy office and verified by the department in consultation with the Washington state patrol;</w:t>
      </w:r>
    </w:p>
    <w:p>
      <w:pPr>
        <w:spacing w:before="0" w:after="0" w:line="408" w:lineRule="exact"/>
        <w:ind w:left="0" w:right="0" w:firstLine="576"/>
        <w:jc w:val="left"/>
      </w:pPr>
      <w:r>
        <w:rPr/>
        <w:t xml:space="preserve">(ii) Must provide exemptions for snow tires, spare use tires, tires manufactured specifically for use in vehicles with three or fewer wheels, tires manufactured specifically for use in vehicles participating in an organized racing or competitive event conducted by a recognized sanctioning body, tires manufactured specifically for use in off-road recreational vehicles, or tires manufactured specifically for use in farm tractors or farm vehicles as defined in RCW 46.04.181; and</w:t>
      </w:r>
    </w:p>
    <w:p>
      <w:pPr>
        <w:spacing w:before="0" w:after="0" w:line="408" w:lineRule="exact"/>
        <w:ind w:left="0" w:right="0" w:firstLine="576"/>
        <w:jc w:val="left"/>
      </w:pPr>
      <w:r>
        <w:rPr/>
        <w:t xml:space="preserve">(iii) Must provide exemptions for authorized emergency vehicles as defined in RCW 46.04.040 that are unable to meet the standards in subsection (2) of this section.</w:t>
      </w:r>
    </w:p>
    <w:p>
      <w:pPr>
        <w:spacing w:before="0" w:after="0" w:line="408" w:lineRule="exact"/>
        <w:ind w:left="0" w:right="0" w:firstLine="576"/>
        <w:jc w:val="left"/>
      </w:pPr>
      <w:r>
        <w:rPr/>
        <w:t xml:space="preserve">(4) The department may require energy efficiency ratings determined under the rating system in subsection (2) of this section be displayed to consumers at the physical or online point of sale.</w:t>
      </w:r>
    </w:p>
    <w:p>
      <w:pPr>
        <w:spacing w:before="0" w:after="0" w:line="408" w:lineRule="exact"/>
        <w:ind w:left="0" w:right="0" w:firstLine="576"/>
        <w:jc w:val="left"/>
      </w:pPr>
      <w:r>
        <w:rPr/>
        <w:t xml:space="preserve">(5) If developing standards in subsection (2)(e) of this section, the department shall consider information submitted by tire industry representatives, including tire brand name owners and tire manufacturers, during a rule-making process as required in section 304 of this act. The department may classify information submitted by industry representatives as confidential information not subject to public disclosure if such a classification is requested by industry representatives and considered in the public interest by the department. Nothing in this subsection prohibits the department from adopting rules if industry representatives fail to submit information as requested by the department.</w:t>
      </w:r>
    </w:p>
    <w:p>
      <w:pPr>
        <w:spacing w:before="0" w:after="0" w:line="408" w:lineRule="exact"/>
        <w:ind w:left="0" w:right="0" w:firstLine="576"/>
        <w:jc w:val="left"/>
      </w:pPr>
      <w:r>
        <w:rPr/>
        <w:t xml:space="preserve">(6) The department is encouraged to coordinate with the California energy commission when implementing this section to pursue common standards, reporting requirements, and labeling that reduces compliance costs for the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acting on authority granted in this chapter, the department shall adopt and amend rules as necessary to implement, administer, and enforce this chapter.</w:t>
      </w:r>
    </w:p>
    <w:p>
      <w:pPr>
        <w:spacing w:before="0" w:after="0" w:line="408" w:lineRule="exact"/>
        <w:ind w:left="0" w:right="0" w:firstLine="576"/>
        <w:jc w:val="left"/>
      </w:pPr>
      <w:r>
        <w:rPr/>
        <w:t xml:space="preserve">(a) Tire brand name owners and tire manufacturers who violate rules adopted to implement this chapter may be issued a warning by the department, or another state agency as designated by the department, for any first violation. Repeat violations are subject to a civil penalty ranging from $100 to $10,000 per occurrence.</w:t>
      </w:r>
    </w:p>
    <w:p>
      <w:pPr>
        <w:spacing w:before="0" w:after="0" w:line="408" w:lineRule="exact"/>
        <w:ind w:left="0" w:right="0" w:firstLine="576"/>
        <w:jc w:val="left"/>
      </w:pPr>
      <w:r>
        <w:rPr/>
        <w:t xml:space="preserve">(b) Tire retailers who violate rules adopted to implement this chapter may be issued a warning by the department, or another state agency as designated by the department, for any first violation. Repeat violations are subject to a civil penalty ranging from $100 to $1,000 per occurrence.</w:t>
      </w:r>
    </w:p>
    <w:p>
      <w:pPr>
        <w:spacing w:before="0" w:after="0" w:line="408" w:lineRule="exact"/>
        <w:ind w:left="0" w:right="0" w:firstLine="576"/>
        <w:jc w:val="left"/>
      </w:pPr>
      <w:r>
        <w:rPr/>
        <w:t xml:space="preserve">(c) The department shall issue warnings and civil penalties to tire brand name owners and tire manufacturers, and not tire retailers, for violations of rules implementing section 303(3) of this act if the tire brand name owner or tire manufacturer falsely reports compliance to the tire retailer or the department.</w:t>
      </w:r>
    </w:p>
    <w:p>
      <w:pPr>
        <w:spacing w:before="0" w:after="0" w:line="408" w:lineRule="exact"/>
        <w:ind w:left="0" w:right="0" w:firstLine="576"/>
        <w:jc w:val="left"/>
      </w:pPr>
      <w:r>
        <w:rPr/>
        <w:t xml:space="preserve">(d) The department, or another state agency as designated by the department, may carry out inspections of replacement tires sold or offered for sale.</w:t>
      </w:r>
    </w:p>
    <w:p>
      <w:pPr>
        <w:spacing w:before="0" w:after="0" w:line="408" w:lineRule="exact"/>
        <w:ind w:left="0" w:right="0" w:firstLine="576"/>
        <w:jc w:val="left"/>
      </w:pPr>
      <w:r>
        <w:rPr/>
        <w:t xml:space="preserve">(2) Rules adopted to implement this chapter, except for emergency rules consistent with RCW 34.05.350, must go into effect no sooner than one year following final rule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The chief of the Washington state patrol may update rules authorized in this chapter to reference rules adopted by the department of commerce as authorized by section 304 of this act to ensure better clarity and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423</w:t>
      </w:r>
      <w:r>
        <w:rPr/>
        <w:t xml:space="preserve"> and 2010 c 8 s 9053 are each amended to read as follows:</w:t>
      </w:r>
    </w:p>
    <w:p>
      <w:pPr>
        <w:spacing w:before="0" w:after="0" w:line="408" w:lineRule="exact"/>
        <w:ind w:left="0" w:right="0" w:firstLine="576"/>
        <w:jc w:val="left"/>
      </w:pPr>
      <w:r>
        <w:rPr>
          <w:u w:val="single"/>
        </w:rPr>
        <w:t xml:space="preserve">(1)</w:t>
      </w:r>
      <w:r>
        <w:rPr/>
        <w:t xml:space="preserve"> No person, firm, or corporation shall sell or offer for sale for use on the public highways of this state any new pneumatic passenger car tire </w:t>
      </w:r>
      <w:r>
        <w:t>((</w:t>
      </w:r>
      <w:r>
        <w:rPr>
          <w:strike/>
        </w:rPr>
        <w:t xml:space="preserve">which</w:t>
      </w:r>
      <w:r>
        <w:t>))</w:t>
      </w:r>
      <w:r>
        <w:rPr/>
        <w:t xml:space="preserve"> </w:t>
      </w:r>
      <w:r>
        <w:rPr>
          <w:u w:val="single"/>
        </w:rPr>
        <w:t xml:space="preserve">that</w:t>
      </w:r>
      <w:r>
        <w:rPr/>
        <w:t xml:space="preserve"> does not meet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standards established by federal motor vehicle safety standard No. 109, as </w:t>
      </w:r>
      <w:r>
        <w:t>((</w:t>
      </w:r>
      <w:r>
        <w:rPr>
          <w:strike/>
        </w:rPr>
        <w:t xml:space="preserve">promulgated</w:t>
      </w:r>
      <w:r>
        <w:t>))</w:t>
      </w:r>
      <w:r>
        <w:rPr/>
        <w:t xml:space="preserve"> </w:t>
      </w:r>
      <w:r>
        <w:rPr>
          <w:u w:val="single"/>
        </w:rPr>
        <w:t xml:space="preserve">adopted and updated</w:t>
      </w:r>
      <w:r>
        <w:rPr/>
        <w:t xml:space="preserve"> by the United States department of transportation under authority of the National Traffic and Motor Vehicle Safety Act of 1966 (80 Stat. 719, 728; 15 U.S.C. 1392, 1407)</w:t>
      </w:r>
      <w:r>
        <w:rPr>
          <w:u w:val="single"/>
        </w:rPr>
        <w:t xml:space="preserve">; and</w:t>
      </w:r>
    </w:p>
    <w:p>
      <w:pPr>
        <w:spacing w:before="0" w:after="0" w:line="408" w:lineRule="exact"/>
        <w:ind w:left="0" w:right="0" w:firstLine="576"/>
        <w:jc w:val="left"/>
      </w:pPr>
      <w:r>
        <w:rPr>
          <w:u w:val="single"/>
        </w:rPr>
        <w:t xml:space="preserve">(b) Energy efficiency standards for replacement tires established by the department of commerce as authorized by sections 301 through 307 of this act</w:t>
      </w:r>
      <w:r>
        <w:rPr/>
        <w:t xml:space="preserve">.</w:t>
      </w:r>
    </w:p>
    <w:p>
      <w:pPr>
        <w:spacing w:before="0" w:after="0" w:line="408" w:lineRule="exact"/>
        <w:ind w:left="0" w:right="0" w:firstLine="576"/>
        <w:jc w:val="left"/>
      </w:pPr>
      <w:r>
        <w:t>((</w:t>
      </w:r>
      <w:r>
        <w:rPr>
          <w:strike/>
        </w:rPr>
        <w:t xml:space="preserve">The applicable standard shall be the version of standard No. 109 in effect at the time of manufacture of the tire.</w:t>
      </w:r>
      <w:r>
        <w:t>))</w:t>
      </w:r>
    </w:p>
    <w:p>
      <w:pPr>
        <w:spacing w:before="0" w:after="0" w:line="408" w:lineRule="exact"/>
        <w:ind w:left="0" w:right="0" w:firstLine="576"/>
        <w:jc w:val="left"/>
      </w:pPr>
      <w:r>
        <w:rPr>
          <w:u w:val="single"/>
        </w:rPr>
        <w:t xml:space="preserve">(2)</w:t>
      </w:r>
      <w:r>
        <w:rPr/>
        <w:t xml:space="preserve"> It is a traffic infraction for any person, firm, or corporation to sell or offer for sale any new pneumatic passenger car tire which does not meet the standards </w:t>
      </w:r>
      <w:r>
        <w:t>((</w:t>
      </w:r>
      <w:r>
        <w:rPr>
          <w:strike/>
        </w:rPr>
        <w:t xml:space="preserve">prescribed in</w:t>
      </w:r>
      <w:r>
        <w:t>))</w:t>
      </w:r>
      <w:r>
        <w:rPr/>
        <w:t xml:space="preserve"> </w:t>
      </w:r>
      <w:r>
        <w:rPr>
          <w:u w:val="single"/>
        </w:rPr>
        <w:t xml:space="preserve">provided in subsection (1)(a) of</w:t>
      </w:r>
      <w:r>
        <w:rPr/>
        <w:t xml:space="preserve"> this section unless such tires are sold for off-highway use, as evidenced by a statement signed by the purchaser at the time of sale certifying that he or she is not purchasing such tires for use on the public highways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shall, in consultation with the department of commerce, identify and conduct hazard assessments of the chemical ingredients that are used to achieve reduced rolling resistance in passenger car and light duty truck tires.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304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MEDIUM AND HEAVY DUTY VEHICLE IDLING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the idling of vehicles, particularly commercial vehicles, contributes significantly to air quality concerns and greenhouse gas emissions in the state. These impacts particularly impact overburdened communities and vulnerable populations, as commercial truck routes are often located in these communities. Given the improvements in anti-idling technology and standards, it is no longer prudent to allow for the continuation of idling at current rates. Therefore, it is the intent of the legislature to limit idling of commercial vehicles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2, 2025, any person that owns, operates, or causes to operate any diesel-fueled commercial motor vehicle subject to the requirements of this chapter must comply with the following requirements: </w:t>
      </w:r>
    </w:p>
    <w:p>
      <w:pPr>
        <w:spacing w:before="0" w:after="0" w:line="408" w:lineRule="exact"/>
        <w:ind w:left="0" w:right="0" w:firstLine="576"/>
        <w:jc w:val="left"/>
      </w:pPr>
      <w:r>
        <w:rPr/>
        <w:t xml:space="preserve">(a) No vehicle subject to this chapter may idle for more than five consecutive minutes at any location.</w:t>
      </w:r>
    </w:p>
    <w:p>
      <w:pPr>
        <w:spacing w:before="0" w:after="0" w:line="408" w:lineRule="exact"/>
        <w:ind w:left="0" w:right="0" w:firstLine="576"/>
        <w:jc w:val="left"/>
      </w:pPr>
      <w:r>
        <w:rPr/>
        <w:t xml:space="preserve">(b) No diesel-fueled auxiliary power system subject to this chapter may be operated for more than five minutes at any location within 100 feet of a restricted area.</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"Auxiliary power system" means any device that is permanently dedicated to the vehicle on which it is installed and provides electrical, mechanical, or thermal energy to the primary diesel engine, truck cab or sleeper berth, bus passenger compartment, or any other commercial vehicle cab, as an alternative to idling the primary diesel engine.</w:t>
      </w:r>
    </w:p>
    <w:p>
      <w:pPr>
        <w:spacing w:before="0" w:after="0" w:line="408" w:lineRule="exact"/>
        <w:ind w:left="0" w:right="0" w:firstLine="576"/>
        <w:jc w:val="left"/>
      </w:pPr>
      <w:r>
        <w:rPr/>
        <w:t xml:space="preserve">(b) "Restricted area" means any real property zoned for individual or multifamily housing units, schools, hotels, motels, hospitals, senior care facilities, or child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initiate a rule-making process to provide for civil penalties and enforcement procedures to implement and enforce section 402 of this act. Such rules must be consistent with rules adopted to implement and enforce motor vehicle emissions standards adopted under RCW 70A.30.010. Such rules must also provide for civil penalties for violations ranging from $300 to $1,000 per violation per day.</w:t>
      </w:r>
    </w:p>
    <w:p>
      <w:pPr>
        <w:spacing w:before="0" w:after="0" w:line="408" w:lineRule="exact"/>
        <w:ind w:left="0" w:right="0" w:firstLine="576"/>
        <w:jc w:val="left"/>
      </w:pPr>
      <w:r>
        <w:rPr/>
        <w:t xml:space="preserve">(2) The department of ecology may determine, assess, and collect annual fees from commercial motor vehicle owners subject to this chapter in an amount sufficient to cover the direct and indirect costs of administering and enforcing this section. All fees collected under this subsection must be deposited in the idling prevention enforcement account created in section 406 of this act.</w:t>
      </w:r>
    </w:p>
    <w:p>
      <w:pPr>
        <w:spacing w:before="0" w:after="0" w:line="408" w:lineRule="exact"/>
        <w:ind w:left="0" w:right="0" w:firstLine="576"/>
        <w:jc w:val="left"/>
      </w:pPr>
      <w:r>
        <w:rPr/>
        <w:t xml:space="preserve">(3) In addition to penalties imposed under this section, any person who knowingly avoids any required payment of fees or who is more than 90 days late with such payment may be subject to an additional penalty equal to three times the amount of the original fee 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with this chapter and any rules adopted under section 403 of this act applies to any person, business, or governmental agency that owns, operates, or causes to operate at any location in Washington state the following equipment:</w:t>
      </w:r>
    </w:p>
    <w:p>
      <w:pPr>
        <w:spacing w:before="0" w:after="0" w:line="408" w:lineRule="exact"/>
        <w:ind w:left="0" w:right="0" w:firstLine="576"/>
        <w:jc w:val="left"/>
      </w:pPr>
      <w:r>
        <w:rPr/>
        <w:t xml:space="preserve">(1) A diesel-fueled commercial motor vehicle that is licensed to operate in the state of Washington with a gross vehicle weight rating of more than 10,000 pounds; and</w:t>
      </w:r>
    </w:p>
    <w:p>
      <w:pPr>
        <w:spacing w:before="0" w:after="0" w:line="408" w:lineRule="exact"/>
        <w:ind w:left="0" w:right="0" w:firstLine="576"/>
        <w:jc w:val="left"/>
      </w:pPr>
      <w:r>
        <w:rPr/>
        <w:t xml:space="preserve">(2) Any alternative idle reduction technology including, but not limited to, internal combustion engine auxiliary power systems, fuel-fired heaters, battery-electric auxiliary power systems, and other technologies installed on diesel-fueled commercial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peace officer, pursuant to RCW 43.43.030, and any air pollution control authority created under chapter 70A.15 RCW may issue civil penalties for violations described under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idling prevention enforcement account is created in the state treasury. All receipts from fees imposed under section 403(2) of this act and civil penalties generated under this chapter from idling violations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(1) Enforcement activities required in section 403 of this act and authorized under section 405 of this act;</w:t>
      </w:r>
    </w:p>
    <w:p>
      <w:pPr>
        <w:spacing w:before="0" w:after="0" w:line="408" w:lineRule="exact"/>
        <w:ind w:left="0" w:right="0" w:firstLine="576"/>
        <w:jc w:val="left"/>
      </w:pPr>
      <w:r>
        <w:rPr/>
        <w:t xml:space="preserve">(2) Incentives for idle reduction technologies; or</w:t>
      </w:r>
    </w:p>
    <w:p>
      <w:pPr>
        <w:spacing w:before="0" w:after="0" w:line="408" w:lineRule="exact"/>
        <w:ind w:left="0" w:right="0" w:firstLine="576"/>
        <w:jc w:val="left"/>
      </w:pPr>
      <w:r>
        <w:rPr/>
        <w:t xml:space="preserve">(3) Incentives for zero emissions vehicles with gross vehicle weight ratings of more than 10,000 pounds.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406 of this act constitute a new chapter in </w:t>
      </w:r>
      <w:r>
        <w:rPr/>
        <w:t xml:space="preserve">Title </w:t>
      </w:r>
      <w:r>
        <w:t xml:space="preserve">70A</w:t>
      </w:r>
      <w:r>
        <w:rPr/>
        <w:t xml:space="preserve"> RCW</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ZERO EMISSIONS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legislature finds that to transition Washington's school bus fleet as quickly as the state's greenhouse gas emissions reduction targets demand and to significantly improve health outcomes for students and bus drivers, easy-to-access funding must be provided for school districts and for student transportation service contractors to purchase electric school buses on an urgent timeline.</w:t>
      </w:r>
    </w:p>
    <w:p>
      <w:pPr>
        <w:spacing w:before="0" w:after="0" w:line="408" w:lineRule="exact"/>
        <w:ind w:left="0" w:right="0" w:firstLine="576"/>
        <w:jc w:val="left"/>
      </w:pPr>
      <w:r>
        <w:rPr/>
        <w:t xml:space="preserve">(2) Utilizing its expertise from its clean school bus program, the department of ecology must collaborate with the office of the superintendent of public instruction and the department of commerce to:</w:t>
      </w:r>
    </w:p>
    <w:p>
      <w:pPr>
        <w:spacing w:before="0" w:after="0" w:line="408" w:lineRule="exact"/>
        <w:ind w:left="0" w:right="0" w:firstLine="576"/>
        <w:jc w:val="left"/>
      </w:pPr>
      <w:r>
        <w:rPr/>
        <w:t xml:space="preserve">(a) Identify target years for requiring that all new public school bus purchases be for zero emissions school buses and that all public school buses in operation be zero emissions school buses, with consideration of the modeling from the transportation electrification strategy under RCW 43.392.040 and other cost analyses and bus availability projections;</w:t>
      </w:r>
    </w:p>
    <w:p>
      <w:pPr>
        <w:spacing w:before="0" w:after="0" w:line="408" w:lineRule="exact"/>
        <w:ind w:left="0" w:right="0" w:firstLine="576"/>
        <w:jc w:val="left"/>
      </w:pPr>
      <w:r>
        <w:rPr/>
        <w:t xml:space="preserve">(b) Calculate the amount of funding necessary for school districts to cover higher purchase prices before cost parity, bus route planning, facility upgrades, charging infrastructure, and training for technicians and drivers; and</w:t>
      </w:r>
    </w:p>
    <w:p>
      <w:pPr>
        <w:spacing w:before="0" w:after="0" w:line="408" w:lineRule="exact"/>
        <w:ind w:left="0" w:right="0" w:firstLine="576"/>
        <w:jc w:val="left"/>
      </w:pPr>
      <w:r>
        <w:rPr/>
        <w:t xml:space="preserve">(c) Develop a funding process recommendation that does not require school districts to apply for state competitive grants separate from other direct funding streams, and that ensures a seamless transition from the department of ecology's clean school bus program, contingent upon receipt of sufficient funding.</w:t>
      </w:r>
    </w:p>
    <w:p>
      <w:pPr>
        <w:spacing w:before="0" w:after="0" w:line="408" w:lineRule="exact"/>
        <w:ind w:left="0" w:right="0" w:firstLine="576"/>
        <w:jc w:val="left"/>
      </w:pPr>
      <w:r>
        <w:rPr/>
        <w:t xml:space="preserve">(3) The office of the superintendent of public instruction must collaborate with the department of ecology and department of commerce to:</w:t>
      </w:r>
    </w:p>
    <w:p>
      <w:pPr>
        <w:spacing w:before="0" w:after="0" w:line="408" w:lineRule="exact"/>
        <w:ind w:left="0" w:right="0" w:firstLine="576"/>
        <w:jc w:val="left"/>
      </w:pPr>
      <w:r>
        <w:rPr/>
        <w:t xml:space="preserve">(a) Develop an extension request and approval process that can be made for a zero emissions school bus, if a district can demonstrate the zero emissions school bus will not meet the needs of the school district; and</w:t>
      </w:r>
    </w:p>
    <w:p>
      <w:pPr>
        <w:spacing w:before="0" w:after="0" w:line="408" w:lineRule="exact"/>
        <w:ind w:left="0" w:right="0" w:firstLine="576"/>
        <w:jc w:val="left"/>
      </w:pPr>
      <w:r>
        <w:rPr/>
        <w:t xml:space="preserve">(b) Coordinate with school districts through regional transportation coordinators to implement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ELECTRIC VEHICLE INFRASTRUCTURE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state agency subject to the requirements of executive order 21-04 must require that the installation of electric vehicle supply equipment at state-owned facilities be performed by persons certified by the electric vehicle infrastructure training program or a similarly accredited program to ensure safety, effectiveness, and achieve consistency in labor standards. This section does not apply to installation projects under contract as of the effective date of this section.</w:t>
      </w:r>
    </w:p>
    <w:p>
      <w:pPr>
        <w:keepNext/>
        <w:spacing w:before="240" w:after="0" w:line="408" w:lineRule="exact"/>
        <w:ind w:left="0" w:right="0" w:firstLine="576"/>
        <w:jc w:val="center"/>
      </w:pPr>
      <w:r>
        <w:rPr>
          <w:b/>
        </w:rPr>
        <w:t xml:space="preserve">PART VII</w:t>
      </w:r>
    </w:p>
    <w:p>
      <w:pPr>
        <w:keepNext/>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701 of this act expires July 1, 2024.</w:t>
      </w:r>
    </w:p>
    <w:p>
      <w:pPr>
        <w:spacing w:before="0" w:after="0" w:line="408" w:lineRule="exact"/>
        <w:ind w:left="0" w:right="0" w:firstLine="576"/>
        <w:jc w:val="left"/>
      </w:pPr>
      <w:r>
        <w:rPr/>
        <w:t xml:space="preserve">(2) Section 702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702 of this act takes effect July 1, 2024.</w:t>
      </w:r>
    </w:p>
    <w:p>
      <w:pPr>
        <w:spacing w:before="0" w:after="0" w:line="408" w:lineRule="exact"/>
        <w:ind w:left="0" w:right="0" w:firstLine="576"/>
        <w:jc w:val="left"/>
      </w:pPr>
      <w:r>
        <w:rPr/>
        <w:t xml:space="preserve">(2) Section 703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supplemental transportation appropriations act, this act is null and void.</w:t>
      </w:r>
    </w:p>
    <w:p/>
    <w:p>
      <w:pPr>
        <w:jc w:val="center"/>
      </w:pPr>
      <w:r>
        <w:rPr>
          <w:b/>
        </w:rPr>
        <w:t>--- END ---</w:t>
      </w:r>
    </w:p>
    <w:sectPr>
      <w:pgNumType w:start="1"/>
      <w:footerReference xmlns:r="http://schemas.openxmlformats.org/officeDocument/2006/relationships" r:id="R24c8fe93dd7942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33347b7a14a2a" /><Relationship Type="http://schemas.openxmlformats.org/officeDocument/2006/relationships/footer" Target="/word/footer1.xml" Id="R24c8fe93dd79428c" /></Relationships>
</file>