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89dbdd5bba47e7" /></Relationships>
</file>

<file path=word/document.xml><?xml version="1.0" encoding="utf-8"?>
<w:document xmlns:w="http://schemas.openxmlformats.org/wordprocessingml/2006/main">
  <w:body>
    <w:p>
      <w:r>
        <w:t>S-3706.1</w:t>
      </w:r>
    </w:p>
    <w:p>
      <w:pPr>
        <w:jc w:val="center"/>
      </w:pPr>
      <w:r>
        <w:t>_______________________________________________</w:t>
      </w:r>
    </w:p>
    <w:p/>
    <w:p>
      <w:pPr>
        <w:jc w:val="center"/>
      </w:pPr>
      <w:r>
        <w:rPr>
          <w:b/>
        </w:rPr>
        <w:t>SENATE JOINT MEMORIAL 8009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Hasegawa, Wagoner, Dozier, Fortunato, Frame, and Stanford</w:t>
      </w:r>
    </w:p>
    <w:p/>
    <w:p>
      <w:r>
        <w:rPr>
          <w:t xml:space="preserve">Prefiled 12/22/23.</w:t>
        </w:rPr>
      </w:r>
      <w:r>
        <w:rPr>
          <w:t xml:space="preserve">Read first time 01/08/24.  </w:t>
        </w:rPr>
      </w:r>
      <w:r>
        <w:rPr>
          <w:t xml:space="preserve">Referred to Committee on Business, Financial Services, Gaming &amp; Trade.</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federal harbor maintenance tax is assessed on the value of goods being shipped into United States ports; and</w:t>
      </w:r>
    </w:p>
    <w:p>
      <w:pPr>
        <w:spacing w:before="0" w:after="0" w:line="408" w:lineRule="exact"/>
        <w:ind w:left="0" w:right="0" w:firstLine="576"/>
        <w:jc w:val="left"/>
      </w:pPr>
      <w:r>
        <w:rPr/>
        <w:t xml:space="preserve">WHEREAS, The harbor maintenance tax is not collected on transpacific and transatlantic cargo shipped to the United States via rail or roads from ports in Mexico and Canada; and</w:t>
      </w:r>
    </w:p>
    <w:p>
      <w:pPr>
        <w:spacing w:before="0" w:after="0" w:line="408" w:lineRule="exact"/>
        <w:ind w:left="0" w:right="0" w:firstLine="576"/>
        <w:jc w:val="left"/>
      </w:pPr>
      <w:r>
        <w:rPr/>
        <w:t xml:space="preserve">WHEREAS, The ability to move transpacific and transatlantic cargo through Canadian ports and avoid paying the harbor maintenance tax is an incentive to divert cargo away from United States ports; and</w:t>
      </w:r>
    </w:p>
    <w:p>
      <w:pPr>
        <w:spacing w:before="0" w:after="0" w:line="408" w:lineRule="exact"/>
        <w:ind w:left="0" w:right="0" w:firstLine="576"/>
        <w:jc w:val="left"/>
      </w:pPr>
      <w:r>
        <w:rPr/>
        <w:t xml:space="preserve">WHEREAS, The federal maritime commission inquiry into the harbor maintenance tax found that up to half of United States bound containers coming into Canada's west coast ports could revert to using United States west coast ports if United States importers were relieved from paying the tax; and</w:t>
      </w:r>
    </w:p>
    <w:p>
      <w:pPr>
        <w:spacing w:before="0" w:after="0" w:line="408" w:lineRule="exact"/>
        <w:ind w:left="0" w:right="0" w:firstLine="576"/>
        <w:jc w:val="left"/>
      </w:pPr>
      <w:r>
        <w:rPr/>
        <w:t xml:space="preserve">WHEREAS, Current United States law does not require the revenues raised through the harbor maintenance tax to be fully spent on harbor maintenance-related investments, collections have far exceeded fund appropriation and surplus collections, resulting in a surplus of billions of dollars in the harbor maintenance trust fund; and</w:t>
      </w:r>
    </w:p>
    <w:p>
      <w:pPr>
        <w:spacing w:before="0" w:after="0" w:line="408" w:lineRule="exact"/>
        <w:ind w:left="0" w:right="0" w:firstLine="576"/>
        <w:jc w:val="left"/>
      </w:pPr>
      <w:r>
        <w:rPr/>
        <w:t xml:space="preserve">WHEREAS, Revenue raised through the harbor maintenance tax pays for dredging and other maintenance costs, with significant amounts being spent for dredging at east coast, gulf coast, and Columbia river ports; and</w:t>
      </w:r>
    </w:p>
    <w:p>
      <w:pPr>
        <w:spacing w:before="0" w:after="0" w:line="408" w:lineRule="exact"/>
        <w:ind w:left="0" w:right="0" w:firstLine="576"/>
        <w:jc w:val="left"/>
      </w:pPr>
      <w:r>
        <w:rPr/>
        <w:t xml:space="preserve">WHEREAS, Certain deep water ports on the west coast that require no or little dredging, including the Northwest Seaport Alliance consisting of the ports of Seattle and Tacoma, receive just over a penny on every dollar of harbor maintenance tax paid by shippers who use their ports; and</w:t>
      </w:r>
    </w:p>
    <w:p>
      <w:pPr>
        <w:spacing w:before="0" w:after="0" w:line="408" w:lineRule="exact"/>
        <w:ind w:left="0" w:right="0" w:firstLine="576"/>
        <w:jc w:val="left"/>
      </w:pPr>
      <w:r>
        <w:rPr/>
        <w:t xml:space="preserve">WHEREAS, The Columbia river channel is critical to maintain global trade and the port of Vancouver USA serves as the largest wheat export gateway in the nation; and</w:t>
      </w:r>
    </w:p>
    <w:p>
      <w:pPr>
        <w:spacing w:before="0" w:after="0" w:line="408" w:lineRule="exact"/>
        <w:ind w:left="0" w:right="0" w:firstLine="576"/>
        <w:jc w:val="left"/>
      </w:pPr>
      <w:r>
        <w:rPr/>
        <w:t xml:space="preserve">WHEREAS, With the recent widening of the Panama Canal, Washington ports face increasing competition for maritime goods bound for the United States; and</w:t>
      </w:r>
    </w:p>
    <w:p>
      <w:pPr>
        <w:spacing w:before="0" w:after="0" w:line="408" w:lineRule="exact"/>
        <w:ind w:left="0" w:right="0" w:firstLine="576"/>
        <w:jc w:val="left"/>
      </w:pPr>
      <w:r>
        <w:rPr/>
        <w:t xml:space="preserve">WHEREAS, Washington ports are ready to compete on a level playing field to efficiently move goods to market; and</w:t>
      </w:r>
    </w:p>
    <w:p>
      <w:pPr>
        <w:spacing w:before="0" w:after="0" w:line="408" w:lineRule="exact"/>
        <w:ind w:left="0" w:right="0" w:firstLine="576"/>
        <w:jc w:val="left"/>
      </w:pPr>
      <w:r>
        <w:rPr/>
        <w:t xml:space="preserve">WHEREAS, Congress passed substantial harbor maintenance tax reform legislation in 2020, the implementation of which requires additional actions by congressional appropriators and the US Army Corps of Engineers;</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Congress appropriate the full amount of annual harbor maintenance tax revenues and unspent tax collections from the harbor maintenance trust fund consistent with the budget cap adjustments enacted in the CARES Act and the Water Resources Development Act of 2020.</w:t>
      </w:r>
    </w:p>
    <w:p>
      <w:pPr>
        <w:spacing w:before="0" w:after="0" w:line="408" w:lineRule="exact"/>
        <w:ind w:left="0" w:right="0" w:firstLine="576"/>
        <w:jc w:val="left"/>
      </w:pPr>
      <w:r>
        <w:rPr/>
        <w:t xml:space="preserve">(2) Congress direct the US Army Corps of Engineers to allocate the specified amounts for donor and energy transfer ports consistent with the Water Resources Development Act of 2020 and appropriate the amounts specified in section 101 of the Water Resources Development Act of 2020 to carry out subsection (c) of section 2106 of the Water Resources Reform and Development Act of 2014.</w:t>
      </w:r>
    </w:p>
    <w:p>
      <w:pPr>
        <w:spacing w:before="0" w:after="0" w:line="408" w:lineRule="exact"/>
        <w:ind w:left="0" w:right="0" w:firstLine="576"/>
        <w:jc w:val="left"/>
      </w:pPr>
      <w:r>
        <w:rPr/>
        <w:t xml:space="preserve">(3) The US Army Corps of Engineers allocate in its annual work plan 12 percent of annual harbor maintenance trust fund appropriations directly to eligible donor and energy transfer ports, as well as additional amounts to carry out subsection (c) of section 2106 of the Water Resources Reform and Development Act of 2014.</w:t>
      </w:r>
    </w:p>
    <w:p>
      <w:pPr>
        <w:spacing w:before="0" w:after="0" w:line="408" w:lineRule="exact"/>
        <w:ind w:left="0" w:right="0" w:firstLine="576"/>
        <w:jc w:val="left"/>
      </w:pPr>
      <w:r>
        <w:rPr/>
        <w:t xml:space="preserve">(4) The US Army Corps of Engineers shall collect appropriate data and reinstate publication of annual reports, which were terminated in FY 2006, on the status of the harbor maintenance trust fund. This report should also include an analysis of the impact of the harbor maintenance tax in disincentivizing shippers from using US ports and diverting freight to foreign ports, thereby avoiding the tax.</w:t>
      </w:r>
    </w:p>
    <w:p>
      <w:pPr>
        <w:spacing w:before="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143ab3d67cd74f3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4c3e4b56054df9" /><Relationship Type="http://schemas.openxmlformats.org/officeDocument/2006/relationships/footer" Target="/word/footer1.xml" Id="R143ab3d67cd74f3a" /></Relationships>
</file>