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edeb8131b4b17" /></Relationships>
</file>

<file path=word/document.xml><?xml version="1.0" encoding="utf-8"?>
<w:document xmlns:w="http://schemas.openxmlformats.org/wordprocessingml/2006/main">
  <w:body>
    <w:p>
      <w:r>
        <w:t>S-4277.1</w:t>
      </w:r>
    </w:p>
    <w:p>
      <w:pPr>
        <w:jc w:val="center"/>
      </w:pPr>
      <w:r>
        <w:t>_______________________________________________</w:t>
      </w:r>
    </w:p>
    <w:p/>
    <w:p>
      <w:pPr>
        <w:jc w:val="center"/>
      </w:pPr>
      <w:r>
        <w:rPr>
          <w:b/>
        </w:rPr>
        <w:t>SENATE JOINT RESOLUTION 8210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Fortunato, King, Schoesler, Van De Wege, and L. Wilson</w:t>
      </w:r>
    </w:p>
    <w:p/>
    <w:p>
      <w:r>
        <w:rPr>
          <w:t xml:space="preserve">Read first time 01/24/24.  </w:t>
        </w:rPr>
      </w:r>
      <w:r>
        <w:rPr>
          <w:t xml:space="preserve">Referred to Committee on State Government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III, section 2 of the Constitution of the state of Washington to read as follows:</w:t>
      </w:r>
    </w:p>
    <w:p>
      <w:pPr>
        <w:spacing w:before="0" w:after="0" w:line="408" w:lineRule="exact"/>
        <w:ind w:left="0" w:right="0" w:firstLine="576"/>
        <w:jc w:val="left"/>
      </w:pPr>
      <w:r>
        <w:rPr/>
        <w:t xml:space="preserve">Article III, section 2. The supreme executive power of this state shall be vested in a governor, who shall hold his office for a term of four years, and until his successor is elected and qualified. </w:t>
      </w:r>
      <w:r>
        <w:rPr>
          <w:u w:val="single"/>
        </w:rPr>
        <w:t xml:space="preserve">No person may serve as governor for more than two terms, whether or not consecutive.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50fa9c4ba684e6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879c1611a946dd" /><Relationship Type="http://schemas.openxmlformats.org/officeDocument/2006/relationships/footer" Target="/word/footer1.xml" Id="R350fa9c4ba684e68" /></Relationships>
</file>