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2316483de549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20,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5036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Muzzall, Holy, Van De Wege, and Warnick</w:t>
      </w:r>
    </w:p>
    <w:p/>
    <w:p>
      <w:r>
        <w:rPr>
          <w:t xml:space="preserve">Prefiled 12/09/22.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 frame in which real-time telemedicine using both audio and video technology may be used to establish a relationship for the purpose of providing audio-only telemedicine for certain health care services; and amending RCW 41.05.700, 48.43.735, and 74.09.325.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2022 c 213 s 1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t xml:space="preserve">(A)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(ii) For any other health care service:</w:t>
      </w:r>
    </w:p>
    <w:p>
      <w:pPr>
        <w:spacing w:before="0" w:after="0" w:line="408" w:lineRule="exact"/>
        <w:ind w:left="0" w:right="0" w:firstLine="576"/>
        <w:jc w:val="left"/>
      </w:pPr>
      <w:r>
        <w:rPr/>
        <w:t xml:space="preserve">(A) The covered person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2022 c 213 s 2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commissioner has cause to believe that a provider has engaged in a pattern of unresolved violations of this subsection (8), the commissioner may submit information to the appropriate disciplining authority, as defined in RCW 18.130.020,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t xml:space="preserve">(A)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(ii) For any other health care service:</w:t>
      </w:r>
    </w:p>
    <w:p>
      <w:pPr>
        <w:spacing w:before="0" w:after="0" w:line="408" w:lineRule="exact"/>
        <w:ind w:left="0" w:right="0" w:firstLine="576"/>
        <w:jc w:val="left"/>
      </w:pPr>
      <w:r>
        <w:rPr/>
        <w:t xml:space="preserve">(A) The covered person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w:t>
      </w:r>
      <w:r>
        <w:rPr/>
        <w:t xml:space="preserve">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rPr/>
        <w:t xml:space="preserve">(10)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2022 c 213 s 4 are each amended to read as follows:</w:t>
      </w:r>
    </w:p>
    <w:p>
      <w:pPr>
        <w:spacing w:before="0" w:after="0" w:line="408" w:lineRule="exact"/>
        <w:ind w:left="0" w:right="0" w:firstLine="576"/>
        <w:jc w:val="left"/>
      </w:pPr>
      <w:r>
        <w:rPr/>
        <w:t xml:space="preserve">(1)(a)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the same amount of compensation the managed health care system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health care system.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a managed health care system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 or take contractual actions against the provider's agreement for participation in the medicaid program, or both.</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t xml:space="preserve">(A)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(ii) For any other health care service:</w:t>
      </w:r>
    </w:p>
    <w:p>
      <w:pPr>
        <w:spacing w:before="0" w:after="0" w:line="408" w:lineRule="exact"/>
        <w:ind w:left="0" w:right="0" w:firstLine="576"/>
        <w:jc w:val="left"/>
      </w:pPr>
      <w:r>
        <w:rPr/>
        <w:t xml:space="preserve">(A) The covered person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two years, at least one in-person appointment, or, until </w:t>
      </w:r>
      <w:r>
        <w:t>((</w:t>
      </w:r>
      <w:r>
        <w:rPr>
          <w:strike/>
        </w:rPr>
        <w:t xml:space="preserve">January</w:t>
      </w:r>
      <w:r>
        <w:t>))</w:t>
      </w:r>
      <w:r>
        <w:rPr/>
        <w:t xml:space="preserve"> </w:t>
      </w:r>
      <w:r>
        <w:rPr>
          <w:u w:val="single"/>
        </w:rPr>
        <w:t xml:space="preserve">July</w:t>
      </w:r>
      <w:r>
        <w:rPr/>
        <w:t xml:space="preserve"> 1, 2024,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(h) "Originating site" means the physical location of a patient receiving health care services through telemedicine;</w:t>
      </w:r>
    </w:p>
    <w:p>
      <w:pPr>
        <w:spacing w:before="0" w:after="0" w:line="408" w:lineRule="exact"/>
        <w:ind w:left="0" w:right="0" w:firstLine="576"/>
        <w:jc w:val="left"/>
      </w:pPr>
      <w:r>
        <w:rPr/>
        <w:t xml:space="preserve">(i) "Provider" has the same meaning as in RCW 48.43.005;</w:t>
      </w:r>
    </w:p>
    <w:p>
      <w:pPr>
        <w:spacing w:before="0" w:after="0" w:line="408" w:lineRule="exact"/>
        <w:ind w:left="0" w:right="0" w:firstLine="576"/>
        <w:jc w:val="left"/>
      </w:pPr>
      <w:r>
        <w:rPr/>
        <w:t xml:space="preserve">(j)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(k)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
      <w:pPr>
        <w:jc w:val="center"/>
      </w:pPr>
      <w:r>
        <w:rPr>
          <w:b/>
        </w:rPr>
        <w:t>--- END ---</w:t>
      </w:r>
    </w:p>
    <w:sectPr>
      <w:pgNumType w:start="1"/>
      <w:footerReference xmlns:r="http://schemas.openxmlformats.org/officeDocument/2006/relationships" r:id="R1ce1cfde430047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6c6dc8514e4d21" /><Relationship Type="http://schemas.openxmlformats.org/officeDocument/2006/relationships/footer" Target="/word/footer1.xml" Id="R1ce1cfde43004735" /></Relationships>
</file>