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3cb85626664a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5046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5046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5046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Saldaña, Nguyen, Trudeau, C. Wilson, Dhingra, Frame, Kuderer, Nobles, Pedersen, and Valdez)</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postconviction access to counsel; amending RCW 2.70.020;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authorizes personal restraint petitions to challenge potentially unjust criminal judgments and sentences, a procedural safeguard dating back to medieval common law. The legislature further recognizes that recent statutory amendments and Washington supreme court decisions allow thousands of persons impacted by injustices in the criminal legal system to pursue resentencing.</w:t>
      </w:r>
    </w:p>
    <w:p>
      <w:pPr>
        <w:spacing w:before="0" w:after="0" w:line="408" w:lineRule="exact"/>
        <w:ind w:left="0" w:right="0" w:firstLine="576"/>
        <w:jc w:val="left"/>
      </w:pPr>
      <w:r>
        <w:rPr/>
        <w:t xml:space="preserve">The legislature observes that wealthy people retain attorneys to represent them in these complex, high-stakes postconviction legal proceedings. However, at least 80 percent of persons charged with felonies are indigent and cannot afford to hire a lawyer. In addition, nearly 40 percent of incarcerated persons have a cognitive or physical disability that would limit their capacity to access or understand critical legal documents, draft required petitions, or otherwise effectively represent themselves pro se in legal proceedings. Up to 70 percent of persons in prison cannot read above a fourth-grade level.</w:t>
      </w:r>
    </w:p>
    <w:p>
      <w:pPr>
        <w:spacing w:before="0" w:after="0" w:line="408" w:lineRule="exact"/>
        <w:ind w:left="0" w:right="0" w:firstLine="576"/>
        <w:jc w:val="left"/>
      </w:pPr>
      <w:r>
        <w:rPr/>
        <w:t xml:space="preserve">The legislature finds that the criminal legal system disproportionately incarcerates people of color, and that most people in prison are poor and the poorest are women and people of color. The legislature further finds that current law may have the effect of limiting access to counsel to initiate legitimate claims for postconviction relief. The legislature believes this situation perpetuates and exacerbates the disparate impacts of the criminal legal systems on poor persons and persons of color.</w:t>
      </w:r>
    </w:p>
    <w:p>
      <w:pPr>
        <w:spacing w:before="0" w:after="0" w:line="408" w:lineRule="exact"/>
        <w:ind w:left="0" w:right="0" w:firstLine="576"/>
        <w:jc w:val="left"/>
      </w:pPr>
      <w:r>
        <w:rPr/>
        <w:t xml:space="preserve">The legislature therefore declares that indigent incarcerated persons would benefit from access to public defense counsel to advise, initiate, and execute certain postconviction procedures. In addition, the legislature finds that the state should fund and administer access to counsel for certain types of postconviction procedures through the Washington state office of public defense. This act is intended to: Authorize the office of public defense, within amounts appropriated for this purpose, to provide counsel for certain indigent adults and juveniles to file and prosecute one, timely personal restraint petition; petition a sentencing court when the legislature creates an opportunity to do so; and challenge a conviction or sentence if a final decision of an appellate court creates an opportunity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 </w:t>
      </w:r>
      <w:r>
        <w:rPr>
          <w:u w:val="single"/>
        </w:rPr>
        <w:t xml:space="preserve">and RCW 10.73.150</w:t>
      </w:r>
      <w:r>
        <w:rPr/>
        <w:t xml:space="preserve">;</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 </w:t>
      </w:r>
      <w:r>
        <w:rPr>
          <w:u w:val="single"/>
        </w:rPr>
        <w:t xml:space="preserve">and</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(2) Subject to availability of funds appropriated for this specific purpose, provide access to counsel for indigent persons incarcerated in a juvenile rehabilitation or adult correctional facility to file and prosecute a first, timely personal restraint petition under RCW 10.73.150. The office shall establish eligibility criteria that prioritize access to counsel for youth under age 25, youth or adults with sentences in excess of 120 months, youth or adults with disabilities, and youth or adults with limited English proficiency. Nothing in this subsection creates an entitlement to counsel at state expense to file a personal restraint petition;</w:t>
      </w:r>
    </w:p>
    <w:p>
      <w:pPr>
        <w:spacing w:before="0" w:after="0" w:line="408" w:lineRule="exact"/>
        <w:ind w:left="0" w:right="0" w:firstLine="576"/>
        <w:jc w:val="left"/>
      </w:pPr>
      <w:r>
        <w:rPr>
          <w:u w:val="single"/>
        </w:rPr>
        <w:t xml:space="preserve">(3) Subject to the availability of funds appropriated for this specific purpose, appoint counsel to petition the sentencing court if the legislature creates an ability to petition the sentencing court, or appoint counsel to challenge a conviction or sentence if a final decision of an appellate court creates the ability to challenge a conviction or sentence. Nothing in this subsection creates an entitlement to counsel at state expense to petition the sentencing court;</w:t>
      </w:r>
    </w:p>
    <w:p>
      <w:pPr>
        <w:spacing w:before="0" w:after="0" w:line="408" w:lineRule="exact"/>
        <w:ind w:left="0" w:right="0" w:firstLine="576"/>
        <w:jc w:val="left"/>
      </w:pPr>
      <w:r>
        <w:rPr>
          <w:u w:val="single"/>
        </w:rPr>
        <w:t xml:space="preserve">(4)</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public defense shall:</w:t>
      </w:r>
    </w:p>
    <w:p>
      <w:pPr>
        <w:spacing w:before="0" w:after="0" w:line="408" w:lineRule="exact"/>
        <w:ind w:left="0" w:right="0" w:firstLine="576"/>
        <w:jc w:val="left"/>
      </w:pPr>
      <w:r>
        <w:rPr/>
        <w:t xml:space="preserve">(1) Examine and evaluate barriers to providing postconviction counsel to file and prosecute a collateral attack. Barriers to be examined and evaluated include issues related to statutes, state and local court rules and practices, availability of qualified attorneys, and any other issues that may come to the attention of the office of public defense;</w:t>
      </w:r>
    </w:p>
    <w:p>
      <w:pPr>
        <w:spacing w:before="0" w:after="0" w:line="408" w:lineRule="exact"/>
        <w:ind w:left="0" w:right="0" w:firstLine="576"/>
        <w:jc w:val="left"/>
      </w:pPr>
      <w:r>
        <w:rPr/>
        <w:t xml:space="preserve">(2) Engage in outreach to postconviction stakeholders, and include input from prosecutors, defense counsel, and convicted persons and their families;</w:t>
      </w:r>
    </w:p>
    <w:p>
      <w:pPr>
        <w:spacing w:before="0" w:after="0" w:line="408" w:lineRule="exact"/>
        <w:ind w:left="0" w:right="0" w:firstLine="576"/>
        <w:jc w:val="left"/>
      </w:pPr>
      <w:r>
        <w:rPr/>
        <w:t xml:space="preserve">(3) Identify resources and reforms to overcome the barriers;</w:t>
      </w:r>
    </w:p>
    <w:p>
      <w:pPr>
        <w:spacing w:before="0" w:after="0" w:line="408" w:lineRule="exact"/>
        <w:ind w:left="0" w:right="0" w:firstLine="576"/>
        <w:jc w:val="left"/>
      </w:pPr>
      <w:r>
        <w:rPr/>
        <w:t xml:space="preserve">(4) Report findings and recommendations to the appropriate fiscal and policy committees of the legislature not later than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64a8e11face45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de660c8b1412f" /><Relationship Type="http://schemas.openxmlformats.org/officeDocument/2006/relationships/footer" Target="/word/footer1.xml" Id="Ra64a8e11face458a" /></Relationships>
</file>