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07a300d5b14f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Wellman, Hunt, Keiser, Kuderer, Liias, Nguyen, Pedersen, Randall, Rolfes, Saldaña, Salomon, Trudeau, Valdez, and C. Wilson)</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equity in programs for highly capable students; amending RCW 28A.185.020, 28A.185.030, 28A.185.050, and 28A.300.042; adding a new section to chapter 28A.185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0" w:after="0" w:line="408" w:lineRule="exact"/>
        <w:ind w:left="0" w:right="0" w:firstLine="576"/>
        <w:jc w:val="left"/>
      </w:pPr>
      <w:r>
        <w:rPr/>
        <w:t xml:space="preserve">(2) The legislature further intends to allocate state funding for the highly capable program based on five percent of each school district's student population. The legislature does not intend to limit highly capable services to five percent of the student population. School districts may identify and serve more than five percent of their students for highly capable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Other basic education funding can be used alongside categorical funding to identify students and provide programs and services for highly capable students.</w:t>
      </w:r>
    </w:p>
    <w:p>
      <w:pPr>
        <w:spacing w:before="0" w:after="0" w:line="408" w:lineRule="exact"/>
        <w:ind w:left="0" w:right="0" w:firstLine="576"/>
        <w:jc w:val="left"/>
      </w:pPr>
      <w:r>
        <w:rPr/>
        <w:t xml:space="preserve">(2) Each school district must conduct universal screenings in accordance with RCW 28A.185.030 to find students who may qualify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 except that school districts, on a case-by-case basis and with the consent of the parent or guardian, may offer a student screenings or additional assessment opportunities during the summer, outside of school hours, or at an alternative site.</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2023,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
      <w:pPr>
        <w:jc w:val="center"/>
      </w:pPr>
      <w:r>
        <w:rPr>
          <w:b/>
        </w:rPr>
        <w:t>--- END ---</w:t>
      </w:r>
    </w:p>
    <w:sectPr>
      <w:pgNumType w:start="1"/>
      <w:footerReference xmlns:r="http://schemas.openxmlformats.org/officeDocument/2006/relationships" r:id="Rf965ea3273d143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8c6599c8e420e" /><Relationship Type="http://schemas.openxmlformats.org/officeDocument/2006/relationships/footer" Target="/word/footer1.xml" Id="Rf965ea3273d143a0" /></Relationships>
</file>