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fa0fdf6244d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Salomon, Rolfes, Liias, Nobles, Pedersen, and Stanford</w:t>
      </w:r>
    </w:p>
    <w:p/>
    <w:p>
      <w:r>
        <w:rPr>
          <w:t xml:space="preserve">Prefiled 12/28/22.</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surveying Puget Sound marine shoreline habitat; adding new sections to chapter 43.21A RCW; adding a new section to chapter 43.300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 with visual personally identifiable information removed from on-the-water imagery prior to posting.</w:t>
      </w:r>
    </w:p>
    <w:p>
      <w:pPr>
        <w:spacing w:before="0" w:after="0" w:line="408" w:lineRule="exact"/>
        <w:ind w:left="0" w:right="0" w:firstLine="576"/>
        <w:jc w:val="left"/>
      </w:pPr>
      <w:r>
        <w:rPr/>
        <w:t xml:space="preserve">(2) The initial marine oblique aerial and on-the-water imagery must be completed and publicly available by December 31,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0b2fe6d4b7b42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6a84861484d65" /><Relationship Type="http://schemas.openxmlformats.org/officeDocument/2006/relationships/footer" Target="/word/footer1.xml" Id="R10b2fe6d4b7b4232" /></Relationships>
</file>