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7faec16f74a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34</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Trudeau, Dhingra, Billig, Hasegawa, Hunt, Kuderer, Pedersen, Stanford, Valdez, Wellman, and C. Wilson; by request of Administrative Office of the Courts)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After July 1, 2024, persons who:</w:t>
      </w:r>
    </w:p>
    <w:p>
      <w:pPr>
        <w:spacing w:before="0" w:after="0" w:line="408" w:lineRule="exact"/>
        <w:ind w:left="0" w:right="0" w:firstLine="576"/>
        <w:jc w:val="left"/>
      </w:pPr>
      <w:r>
        <w:rPr>
          <w:u w:val="single"/>
        </w:rPr>
        <w:t xml:space="preserve">(i) Apply for a driver's license or identicard in this state shall have the ability to opt in to allow the department of licensing to share the person's email address with the consolidated technology services agency for the purpose of electronically receiving jury summons and other communications related to jury service; and</w:t>
      </w:r>
    </w:p>
    <w:p>
      <w:pPr>
        <w:spacing w:before="0" w:after="0" w:line="408" w:lineRule="exact"/>
        <w:ind w:left="0" w:right="0" w:firstLine="576"/>
        <w:jc w:val="left"/>
      </w:pPr>
      <w:r>
        <w:rPr>
          <w:u w:val="single"/>
        </w:rPr>
        <w:t xml:space="preserve">(ii) Apply online to the register to vote shall, immediately after completing the voter registration transaction, be directed by the secretary of state to a website where the person shall have the ability to opt in to share the person's email address with the consolidated technology services agency for the purpose of electronically receiving jury summons and other communications related to jury service. The provisions of the subsection (2)(b)(ii) are subject to appropriation.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NumType w:start="1"/>
      <w:footerReference xmlns:r="http://schemas.openxmlformats.org/officeDocument/2006/relationships" r:id="R0bc9a09179f94d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a3ad925cf49ef" /><Relationship Type="http://schemas.openxmlformats.org/officeDocument/2006/relationships/footer" Target="/word/footer1.xml" Id="R0bc9a09179f94dd6" /></Relationships>
</file>