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83b56f07844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5228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5228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5228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Dhingra, Hunt, Keiser, Lovelett, Lovick, Nguyen, Valdez, and C. Wilson</w:t>
      </w:r>
    </w:p>
    <w:p/>
    <w:p>
      <w:r>
        <w:rPr>
          <w:t xml:space="preserve">Read first time 01/10/23.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occupational therapy services for persons with behavioral health disorders; amending RCW 71.24.385;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2022 c 94 s 1 are each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w:t>
      </w:r>
    </w:p>
    <w:p>
      <w:pPr>
        <w:spacing w:before="0" w:after="0" w:line="408" w:lineRule="exact"/>
        <w:ind w:left="0" w:right="0" w:firstLine="576"/>
        <w:jc w:val="left"/>
      </w:pPr>
      <w:r>
        <w:rPr/>
        <w:t xml:space="preserve">(ix) </w:t>
      </w:r>
      <w:r>
        <w:rPr>
          <w:u w:val="single"/>
        </w:rPr>
        <w:t xml:space="preserve">Occupational therapy;</w:t>
      </w:r>
    </w:p>
    <w:p>
      <w:pPr>
        <w:spacing w:before="0" w:after="0" w:line="408" w:lineRule="exact"/>
        <w:ind w:left="0" w:right="0" w:firstLine="576"/>
        <w:jc w:val="left"/>
      </w:pPr>
      <w:r>
        <w:rPr>
          <w:u w:val="single"/>
        </w:rPr>
        <w:t xml:space="preserve">(x)</w:t>
      </w:r>
      <w:r>
        <w:rPr/>
        <w:t xml:space="preserve"> Partial hospitalization and intensive outpatient programs for persons under 21 years of age;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w:t>
      </w:r>
      <w:r>
        <w:rPr>
          <w:u w:val="single"/>
        </w:rPr>
        <w:t xml:space="preserve">occupational therapy,</w:t>
      </w:r>
      <w:r>
        <w:rPr/>
        <w:t xml:space="preserve">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June 30, 2024, the Washington state health care authority shall expand coverage in the state medicaid program to ensure that licensed or certified behavioral health agencies are reimbursed by managed care organizations for the medically necessary occupational therapy needs of their clients.</w:t>
      </w:r>
    </w:p>
    <w:p/>
    <w:p>
      <w:pPr>
        <w:jc w:val="center"/>
      </w:pPr>
      <w:r>
        <w:rPr>
          <w:b/>
        </w:rPr>
        <w:t>--- END ---</w:t>
      </w:r>
    </w:p>
    <w:sectPr>
      <w:pgNumType w:start="1"/>
      <w:footerReference xmlns:r="http://schemas.openxmlformats.org/officeDocument/2006/relationships" r:id="Ra458d204603a45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87cfab655e4d49" /><Relationship Type="http://schemas.openxmlformats.org/officeDocument/2006/relationships/footer" Target="/word/footer1.xml" Id="Ra458d204603a4534" /></Relationships>
</file>