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8895b1cb442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5243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Wellman, Hunt, Kuderer, Nobles, and C. Wilson; by request of Superintendent of Public Instruction)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creating new sections; repealing RCW 28A.655.270;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school and beyond plan is both a graduation requirement and a critical component in our education system. However, the practices and technologies that school districts employ for facilitating high school and beyond plans vary significantly. These variances can create inequities for students and families, and do not reflect the legislature's vision for the role of the high school and beyond plan in promoting student success in secondary and postsecondary endeavors.</w:t>
      </w:r>
    </w:p>
    <w:p>
      <w:pPr>
        <w:spacing w:before="0" w:after="0" w:line="408" w:lineRule="exact"/>
        <w:ind w:left="0" w:right="0" w:firstLine="576"/>
        <w:jc w:val="left"/>
      </w:pPr>
      <w:r>
        <w:rPr/>
        <w:t xml:space="preserve">(2) A universal online high school and beyond plan platform that can be readily accessed by students, parents, teachers, and others who support academic progress will alleviate equity issues and create new opportunities for students to develop and curate plans that align with their needs and interests. With the assistance of a flexible, portable, and expandable platform, all students with high school and beyond plans will be able to easily personalize and revise their plans, explore education options of relevance and interest, and receive supports that will help them make informed choices about their education and career objectives.</w:t>
      </w:r>
    </w:p>
    <w:p>
      <w:pPr>
        <w:spacing w:before="0" w:after="0" w:line="408" w:lineRule="exact"/>
        <w:ind w:left="0" w:right="0" w:firstLine="576"/>
        <w:jc w:val="left"/>
      </w:pPr>
      <w:r>
        <w:rPr/>
        <w:t xml:space="preserve">(3) The legislature, therefore, intends to revise and strengthen high school and beyond plan requirements and to direct the office of the superintendent of public instruction to facilitate the transition to a universal online high school and beyond plan platform to guide students' secondary education experiences and ensure preparation for their postsecondary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3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3 of this act and has the capabilities to support the new elements identified in section 5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technology updates, ongoing maintenance requirements, and adjustments to the technology funding formula, and statewide professional development that may be needed, for completing full statewide implementation of the universal platform in all school districts. In the implementation plan,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w:t>
      </w:r>
    </w:p>
    <w:p>
      <w:pPr>
        <w:spacing w:before="0" w:after="0" w:line="408" w:lineRule="exact"/>
        <w:ind w:left="0" w:right="0" w:firstLine="576"/>
        <w:jc w:val="left"/>
      </w:pPr>
      <w:r>
        <w:rPr>
          <w:u w:val="single"/>
        </w:rPr>
        <w:t xml:space="preserve">(4)(a) In addition to the requirements outlined in section 3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that are authorized to participate in state financial aid programs under chapter 28B.92 RCW,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institutions of higher education that are authorized to participate in state financial aid programs under chapter 28B.92 RCW,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ensure that the universal platform will permit transition plans required by RCW 28A.155.220 to be incorporated into the universal platform in a manner that eliminates the need to create duplicate or substantially similar transition plans in other electronic or nonelectronic formats.</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3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3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3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3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RCW 28A.230.090 </w:t>
      </w:r>
      <w:r>
        <w:rPr>
          <w:u w:val="single"/>
        </w:rPr>
        <w:t xml:space="preserve">and in accordance with section 3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w:t>
      </w:r>
      <w:r>
        <w:rPr>
          <w:u w:val="single"/>
        </w:rPr>
        <w:t xml:space="preserve">and in accordance with section 3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9a79d97aa3df40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b31c412a74b7a" /><Relationship Type="http://schemas.openxmlformats.org/officeDocument/2006/relationships/footer" Target="/word/footer1.xml" Id="R9a79d97aa3df4039" /></Relationships>
</file>