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42e108fea46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Kauffman, King, Liias, Kuderer, Nobles, and C. Wilson</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 agencies' ability to enter into interlocal agreements for procurement;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2021 c 176 s 5216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24.03A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obligation with respect to competitive bids or proposals that applies to the public agencies involved is satisfied if the public agency or group of public agencies that awarded the bid, proposal, or contract complied with its own statutory requirements and either (i) posted the bid or solicitation notice on a website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Pr>
        <w:spacing w:before="0" w:after="0" w:line="408" w:lineRule="exact"/>
        <w:ind w:left="0" w:right="0" w:firstLine="576"/>
        <w:jc w:val="left"/>
      </w:pPr>
      <w:r>
        <w:rPr>
          <w:u w:val="single"/>
        </w:rPr>
        <w:t xml:space="preserve">(8) Transit agencies, as defined in RCW 81.104.015, are exempt from the interlocal agreement requirements of subsections (2) through (4) of this section when purchasing rolling stock and related equipment from state cooperative procurement schedules established under section 3019 of P.L. 114-94.</w:t>
      </w:r>
    </w:p>
    <w:p/>
    <w:p>
      <w:pPr>
        <w:jc w:val="center"/>
      </w:pPr>
      <w:r>
        <w:rPr>
          <w:b/>
        </w:rPr>
        <w:t>--- END ---</w:t>
      </w:r>
    </w:p>
    <w:sectPr>
      <w:pgNumType w:start="1"/>
      <w:footerReference xmlns:r="http://schemas.openxmlformats.org/officeDocument/2006/relationships" r:id="R4ec17e1b856a4c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10a12c23754d81" /><Relationship Type="http://schemas.openxmlformats.org/officeDocument/2006/relationships/footer" Target="/word/footer1.xml" Id="R4ec17e1b856a4c71" /></Relationships>
</file>