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44779ca9474a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Liias, Billig, Dhingra, Hunt, Lovelett, Nguyen, Pedersen, Randall, Robinson,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use, and possession of vapor and tobacco products by minors; amending RCW 70.155.080, 70.345.140, 70.155.100, 70.155.110, and 70.345.160; reenacting and amending RCW 70.155.120;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Any enforcement officer who detains a person for the purpose of enforcing the provisions of this chapter and RCW 26.28.080 and 82.24.500 must collect the following information for each fiscal year since 2018: </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Any enforcement officer who detains a person for the purpose of </w:t>
      </w:r>
      <w:r>
        <w:rPr>
          <w:u w:val="single"/>
        </w:rPr>
        <w:t xml:space="preserve">enforcing the provisions of this chapter and RCW 26.28.080 and 82.24.500 must collect the following information for each fiscal year since 2018:</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RCW 26.28.080 and 82.24.500.</w:t>
      </w:r>
    </w:p>
    <w:p/>
    <w:p>
      <w:pPr>
        <w:jc w:val="center"/>
      </w:pPr>
      <w:r>
        <w:rPr>
          <w:b/>
        </w:rPr>
        <w:t>--- END ---</w:t>
      </w:r>
    </w:p>
    <w:sectPr>
      <w:pgNumType w:start="1"/>
      <w:footerReference xmlns:r="http://schemas.openxmlformats.org/officeDocument/2006/relationships" r:id="R67c2bb7f99ac43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c63e3c8b74cc9" /><Relationship Type="http://schemas.openxmlformats.org/officeDocument/2006/relationships/footer" Target="/word/footer1.xml" Id="R67c2bb7f99ac4378" /></Relationships>
</file>