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c4bb7f8e749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Liias, Holy, Saldaña, Shewmake, and C. Wilson</w:t>
      </w:r>
    </w:p>
    <w:p/>
    <w:p>
      <w:r>
        <w:rPr>
          <w:t xml:space="preserve">Read first time 01/16/23.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 performed by institutions of higher education; and amending RCW 28B.10.350 and 28B.50.330.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$110,000</w:t>
      </w:r>
      <w:r>
        <w:rPr/>
        <w:t xml:space="preserve"> or the contract is awarded by the small works roster procedure authorized in RCW 39.04.155,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RCW 39.04.155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RCW 39.04.155.</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the publication requirements of RCW 39.04.020 do not apply.</w:t>
      </w:r>
    </w:p>
    <w:p/>
    <w:p>
      <w:pPr>
        <w:jc w:val="center"/>
      </w:pPr>
      <w:r>
        <w:rPr>
          <w:b/>
        </w:rPr>
        <w:t>--- END ---</w:t>
      </w:r>
    </w:p>
    <w:sectPr>
      <w:pgNumType w:start="1"/>
      <w:footerReference xmlns:r="http://schemas.openxmlformats.org/officeDocument/2006/relationships" r:id="R10803c4d2c1c45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51628518034f4b" /><Relationship Type="http://schemas.openxmlformats.org/officeDocument/2006/relationships/footer" Target="/word/footer1.xml" Id="R10803c4d2c1c4597" /></Relationships>
</file>