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dec9b929a44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5412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Salomon, Liias, Kuderer, Lovelett, Mullet, and Pedersen)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local governments' land use permitting workloads, by ensuring objective and timely design review for housing and other land use proposals within cities and counties and allowing proposed housing within urban growth boundaries to rely on environmental reviews completed at the comprehensive planning level;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 . . (Engrossed Second Substitute House Bill No. 1110), Laws of 2023. Jurisdictions shall satisfy the following criteria prior to the adoption of the categorical exemption under this subsection (3):</w:t>
      </w:r>
    </w:p>
    <w:p>
      <w:pPr>
        <w:spacing w:before="0" w:after="0" w:line="408" w:lineRule="exact"/>
        <w:ind w:left="0" w:right="0" w:firstLine="576"/>
        <w:jc w:val="left"/>
      </w:pPr>
      <w:r>
        <w:rPr>
          <w:u w:val="single"/>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u w:val="singl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u w:val="single"/>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u w:val="single"/>
        </w:rPr>
        <w:t xml:space="preserve">(iii) The categorical exemption is effective 30 days following action by a city or county pursuant to (b)(ii) of this subsection (3).</w:t>
      </w:r>
    </w:p>
    <w:p>
      <w:pPr>
        <w:spacing w:before="0" w:after="0" w:line="408" w:lineRule="exact"/>
        <w:ind w:left="0" w:right="0" w:firstLine="576"/>
        <w:jc w:val="left"/>
      </w:pPr>
      <w:r>
        <w:rPr>
          <w:u w:val="single"/>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u w:val="single"/>
        </w:rPr>
        <w:t xml:space="preserve">(5)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674bc12767aa4e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368e4192640be" /><Relationship Type="http://schemas.openxmlformats.org/officeDocument/2006/relationships/footer" Target="/word/footer1.xml" Id="R674bc12767aa4e66" /></Relationships>
</file>